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26" w:rsidRDefault="00356726">
      <w:pPr>
        <w:rPr>
          <w:b/>
          <w:sz w:val="32"/>
          <w:szCs w:val="32"/>
        </w:rPr>
      </w:pPr>
      <w:r>
        <w:rPr>
          <w:noProof/>
          <w:lang w:eastAsia="nb-NO"/>
        </w:rPr>
        <w:drawing>
          <wp:inline distT="0" distB="0" distL="0" distR="0" wp14:anchorId="6E97CA16" wp14:editId="5030A880">
            <wp:extent cx="3895725" cy="9429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95725" cy="942975"/>
                    </a:xfrm>
                    <a:prstGeom prst="rect">
                      <a:avLst/>
                    </a:prstGeom>
                  </pic:spPr>
                </pic:pic>
              </a:graphicData>
            </a:graphic>
          </wp:inline>
        </w:drawing>
      </w:r>
    </w:p>
    <w:p w:rsidR="00356726" w:rsidRDefault="00356726">
      <w:pPr>
        <w:rPr>
          <w:b/>
          <w:sz w:val="32"/>
          <w:szCs w:val="32"/>
        </w:rPr>
      </w:pPr>
    </w:p>
    <w:p w:rsidR="00356726" w:rsidRDefault="00356726">
      <w:pPr>
        <w:rPr>
          <w:b/>
          <w:sz w:val="32"/>
          <w:szCs w:val="32"/>
        </w:rPr>
      </w:pPr>
    </w:p>
    <w:p w:rsidR="00356726" w:rsidRDefault="00356726">
      <w:pPr>
        <w:rPr>
          <w:b/>
          <w:sz w:val="32"/>
          <w:szCs w:val="32"/>
        </w:rPr>
      </w:pPr>
    </w:p>
    <w:p w:rsidR="00356726" w:rsidRPr="00356726" w:rsidRDefault="00356726" w:rsidP="00356726">
      <w:pPr>
        <w:spacing w:before="240"/>
        <w:rPr>
          <w:rFonts w:ascii="Arial" w:hAnsi="Arial" w:cs="Arial"/>
          <w:b/>
          <w:sz w:val="56"/>
          <w:szCs w:val="64"/>
        </w:rPr>
      </w:pPr>
      <w:r w:rsidRPr="00356726">
        <w:rPr>
          <w:rFonts w:ascii="Arial" w:hAnsi="Arial" w:cs="Arial"/>
          <w:b/>
          <w:sz w:val="56"/>
          <w:szCs w:val="64"/>
        </w:rPr>
        <w:t>Rammer og retningslinjer for eiendomsskattetaksering av fast eiendom i Flekkefjord kommune.</w:t>
      </w:r>
    </w:p>
    <w:p w:rsidR="00356726" w:rsidRPr="00356726" w:rsidRDefault="00356726" w:rsidP="00356726">
      <w:pPr>
        <w:spacing w:before="240"/>
        <w:jc w:val="center"/>
        <w:rPr>
          <w:rFonts w:ascii="Arial" w:hAnsi="Arial" w:cs="Arial"/>
          <w:b/>
          <w:sz w:val="56"/>
          <w:szCs w:val="64"/>
        </w:rPr>
      </w:pPr>
    </w:p>
    <w:p w:rsidR="00356726" w:rsidRDefault="00356726">
      <w:pPr>
        <w:rPr>
          <w:b/>
          <w:sz w:val="32"/>
          <w:szCs w:val="32"/>
        </w:rPr>
      </w:pPr>
    </w:p>
    <w:p w:rsidR="00356726" w:rsidRDefault="00356726">
      <w:pPr>
        <w:rPr>
          <w:b/>
          <w:sz w:val="32"/>
          <w:szCs w:val="32"/>
        </w:rPr>
      </w:pPr>
    </w:p>
    <w:p w:rsidR="00356726" w:rsidRPr="00356726" w:rsidRDefault="00356726">
      <w:pPr>
        <w:rPr>
          <w:rFonts w:ascii="Arial" w:hAnsi="Arial" w:cs="Arial"/>
          <w:b/>
          <w:sz w:val="32"/>
          <w:szCs w:val="32"/>
        </w:rPr>
      </w:pPr>
    </w:p>
    <w:p w:rsidR="00356726" w:rsidRDefault="00356726">
      <w:pPr>
        <w:rPr>
          <w:rFonts w:ascii="Arial" w:hAnsi="Arial" w:cs="Arial"/>
          <w:b/>
          <w:sz w:val="32"/>
          <w:szCs w:val="32"/>
        </w:rPr>
      </w:pPr>
    </w:p>
    <w:p w:rsidR="00356726" w:rsidRDefault="00356726">
      <w:pPr>
        <w:rPr>
          <w:rFonts w:ascii="Arial" w:hAnsi="Arial" w:cs="Arial"/>
          <w:b/>
          <w:sz w:val="32"/>
          <w:szCs w:val="32"/>
        </w:rPr>
      </w:pPr>
    </w:p>
    <w:p w:rsidR="00356726" w:rsidRDefault="00356726">
      <w:pPr>
        <w:rPr>
          <w:rFonts w:ascii="Arial" w:hAnsi="Arial" w:cs="Arial"/>
          <w:b/>
          <w:sz w:val="32"/>
          <w:szCs w:val="32"/>
        </w:rPr>
      </w:pPr>
    </w:p>
    <w:p w:rsidR="00356726" w:rsidRDefault="00356726">
      <w:pPr>
        <w:rPr>
          <w:rFonts w:ascii="Arial" w:hAnsi="Arial" w:cs="Arial"/>
          <w:b/>
          <w:sz w:val="32"/>
          <w:szCs w:val="32"/>
        </w:rPr>
      </w:pPr>
    </w:p>
    <w:p w:rsidR="00356726" w:rsidRPr="00356726" w:rsidRDefault="00356726">
      <w:pPr>
        <w:rPr>
          <w:rFonts w:ascii="Arial" w:hAnsi="Arial" w:cs="Arial"/>
          <w:b/>
          <w:sz w:val="32"/>
          <w:szCs w:val="32"/>
        </w:rPr>
      </w:pPr>
    </w:p>
    <w:p w:rsidR="00356726" w:rsidRDefault="00356726">
      <w:pPr>
        <w:rPr>
          <w:rFonts w:ascii="Arial" w:hAnsi="Arial" w:cs="Arial"/>
          <w:b/>
          <w:sz w:val="32"/>
          <w:szCs w:val="32"/>
        </w:rPr>
      </w:pPr>
      <w:r w:rsidRPr="00356726">
        <w:rPr>
          <w:rFonts w:ascii="Arial" w:hAnsi="Arial" w:cs="Arial"/>
          <w:b/>
          <w:sz w:val="32"/>
          <w:szCs w:val="32"/>
        </w:rPr>
        <w:t xml:space="preserve">Vedtatt 6.9.2019 </w:t>
      </w:r>
    </w:p>
    <w:p w:rsidR="00356726" w:rsidRPr="00356726" w:rsidRDefault="00356726">
      <w:pPr>
        <w:rPr>
          <w:rFonts w:ascii="Arial" w:hAnsi="Arial" w:cs="Arial"/>
          <w:b/>
          <w:sz w:val="32"/>
          <w:szCs w:val="32"/>
        </w:rPr>
      </w:pPr>
      <w:r w:rsidRPr="00356726">
        <w:rPr>
          <w:rFonts w:ascii="Arial" w:hAnsi="Arial" w:cs="Arial"/>
          <w:b/>
          <w:sz w:val="32"/>
          <w:szCs w:val="32"/>
        </w:rPr>
        <w:t>av</w:t>
      </w:r>
    </w:p>
    <w:p w:rsidR="00356726" w:rsidRDefault="00356726">
      <w:pPr>
        <w:rPr>
          <w:rFonts w:eastAsia="Calibri" w:cs="Calibri"/>
          <w:b/>
          <w:sz w:val="32"/>
          <w:szCs w:val="32"/>
          <w:lang w:val="nb" w:eastAsia="nb" w:bidi="nb"/>
        </w:rPr>
      </w:pPr>
      <w:r w:rsidRPr="00356726">
        <w:rPr>
          <w:rFonts w:ascii="Arial" w:hAnsi="Arial" w:cs="Arial"/>
          <w:b/>
          <w:sz w:val="32"/>
          <w:szCs w:val="32"/>
        </w:rPr>
        <w:t>Eiendomsskattetakstutvalget.</w:t>
      </w:r>
      <w:r>
        <w:rPr>
          <w:b/>
          <w:sz w:val="32"/>
          <w:szCs w:val="32"/>
        </w:rPr>
        <w:t xml:space="preserve"> </w:t>
      </w:r>
      <w:r>
        <w:rPr>
          <w:b/>
          <w:sz w:val="32"/>
          <w:szCs w:val="32"/>
        </w:rPr>
        <w:br w:type="page"/>
      </w:r>
    </w:p>
    <w:p w:rsidR="00034EAB" w:rsidRPr="00177476" w:rsidRDefault="00034EAB" w:rsidP="00034EAB">
      <w:pPr>
        <w:pStyle w:val="Brdtekst"/>
        <w:spacing w:before="102"/>
        <w:rPr>
          <w:rFonts w:asciiTheme="minorHAnsi" w:hAnsiTheme="minorHAnsi"/>
          <w:b/>
          <w:sz w:val="32"/>
          <w:szCs w:val="32"/>
        </w:rPr>
      </w:pPr>
      <w:r w:rsidRPr="00177476">
        <w:rPr>
          <w:rFonts w:asciiTheme="minorHAnsi" w:hAnsiTheme="minorHAnsi"/>
          <w:b/>
          <w:sz w:val="32"/>
          <w:szCs w:val="32"/>
        </w:rPr>
        <w:lastRenderedPageBreak/>
        <w:t xml:space="preserve">Retningslinjer for eiendomsskattetaksering av fast eiendom i </w:t>
      </w:r>
      <w:r w:rsidR="008D60AE">
        <w:rPr>
          <w:rFonts w:asciiTheme="minorHAnsi" w:hAnsiTheme="minorHAnsi"/>
          <w:b/>
          <w:sz w:val="32"/>
          <w:szCs w:val="32"/>
        </w:rPr>
        <w:t>Flekkefjord</w:t>
      </w:r>
      <w:r w:rsidRPr="00177476">
        <w:rPr>
          <w:rFonts w:asciiTheme="minorHAnsi" w:hAnsiTheme="minorHAnsi"/>
          <w:b/>
          <w:sz w:val="32"/>
          <w:szCs w:val="32"/>
        </w:rPr>
        <w:t xml:space="preserve"> kommune fastsatt av sakkyndig nemnd i møte </w:t>
      </w:r>
      <w:r w:rsidR="00EF0E7B">
        <w:rPr>
          <w:rFonts w:asciiTheme="minorHAnsi" w:hAnsiTheme="minorHAnsi"/>
          <w:b/>
          <w:sz w:val="32"/>
          <w:szCs w:val="32"/>
        </w:rPr>
        <w:t>6</w:t>
      </w:r>
      <w:r w:rsidRPr="00177476">
        <w:rPr>
          <w:rFonts w:asciiTheme="minorHAnsi" w:hAnsiTheme="minorHAnsi"/>
          <w:b/>
          <w:sz w:val="32"/>
          <w:szCs w:val="32"/>
        </w:rPr>
        <w:t>.</w:t>
      </w:r>
      <w:r w:rsidR="00EF0E7B">
        <w:rPr>
          <w:rFonts w:asciiTheme="minorHAnsi" w:hAnsiTheme="minorHAnsi"/>
          <w:b/>
          <w:sz w:val="32"/>
          <w:szCs w:val="32"/>
        </w:rPr>
        <w:t>9</w:t>
      </w:r>
      <w:r w:rsidRPr="00177476">
        <w:rPr>
          <w:rFonts w:asciiTheme="minorHAnsi" w:hAnsiTheme="minorHAnsi"/>
          <w:b/>
          <w:sz w:val="32"/>
          <w:szCs w:val="32"/>
        </w:rPr>
        <w:t>.</w:t>
      </w:r>
      <w:r w:rsidR="008D60AE">
        <w:rPr>
          <w:rFonts w:asciiTheme="minorHAnsi" w:hAnsiTheme="minorHAnsi"/>
          <w:b/>
          <w:sz w:val="32"/>
          <w:szCs w:val="32"/>
        </w:rPr>
        <w:t>2019</w:t>
      </w:r>
    </w:p>
    <w:p w:rsidR="0024571E" w:rsidRPr="00A210CF" w:rsidRDefault="0024571E">
      <w:pPr>
        <w:rPr>
          <w:sz w:val="28"/>
          <w:szCs w:val="28"/>
          <w:lang w:val="nb"/>
        </w:rPr>
      </w:pPr>
    </w:p>
    <w:p w:rsidR="00DE3926" w:rsidRPr="00A210CF" w:rsidRDefault="00DE3926">
      <w:pPr>
        <w:rPr>
          <w:i/>
          <w:sz w:val="28"/>
          <w:szCs w:val="28"/>
          <w:lang w:val="nb"/>
        </w:rPr>
      </w:pPr>
      <w:r w:rsidRPr="00A210CF">
        <w:rPr>
          <w:i/>
          <w:sz w:val="28"/>
          <w:szCs w:val="28"/>
          <w:lang w:val="nb"/>
        </w:rPr>
        <w:t>Rettsgrunnlag og prinsipper for takseringsarbeidet.</w:t>
      </w:r>
    </w:p>
    <w:p w:rsidR="00DE3926" w:rsidRPr="00A210CF" w:rsidRDefault="00DE3926" w:rsidP="00DE3926">
      <w:pPr>
        <w:pStyle w:val="Overskrift2"/>
        <w:spacing w:before="51"/>
        <w:ind w:left="0"/>
        <w:rPr>
          <w:rFonts w:asciiTheme="minorHAnsi" w:hAnsiTheme="minorHAnsi"/>
          <w:sz w:val="28"/>
          <w:szCs w:val="28"/>
        </w:rPr>
      </w:pPr>
      <w:r w:rsidRPr="00A210CF">
        <w:rPr>
          <w:rFonts w:asciiTheme="minorHAnsi" w:hAnsiTheme="minorHAnsi"/>
          <w:color w:val="00AFEF"/>
          <w:sz w:val="28"/>
          <w:szCs w:val="28"/>
        </w:rPr>
        <w:t>Rettsgrunnlag</w:t>
      </w:r>
    </w:p>
    <w:p w:rsidR="0005684C" w:rsidRDefault="009516FE" w:rsidP="0005684C">
      <w:pPr>
        <w:pStyle w:val="Brdtekst"/>
        <w:spacing w:before="43" w:line="276" w:lineRule="auto"/>
        <w:ind w:right="732"/>
        <w:rPr>
          <w:rFonts w:asciiTheme="minorHAnsi" w:hAnsiTheme="minorHAnsi"/>
          <w:sz w:val="28"/>
          <w:szCs w:val="28"/>
        </w:rPr>
      </w:pPr>
      <w:r>
        <w:rPr>
          <w:rFonts w:asciiTheme="minorHAnsi" w:hAnsiTheme="minorHAnsi"/>
          <w:sz w:val="28"/>
          <w:szCs w:val="28"/>
        </w:rPr>
        <w:t xml:space="preserve">Med hjemmel i </w:t>
      </w:r>
      <w:r w:rsidR="00DE3926" w:rsidRPr="00A210CF">
        <w:rPr>
          <w:rFonts w:asciiTheme="minorHAnsi" w:hAnsiTheme="minorHAnsi"/>
          <w:sz w:val="28"/>
          <w:szCs w:val="28"/>
        </w:rPr>
        <w:t>eiendomsskatteloven § 8 A-3</w:t>
      </w:r>
      <w:r w:rsidR="00C968A9">
        <w:rPr>
          <w:rFonts w:asciiTheme="minorHAnsi" w:hAnsiTheme="minorHAnsi"/>
          <w:sz w:val="28"/>
          <w:szCs w:val="28"/>
        </w:rPr>
        <w:t xml:space="preserve"> </w:t>
      </w:r>
      <w:r w:rsidR="00DE3926" w:rsidRPr="00A210CF">
        <w:rPr>
          <w:rFonts w:asciiTheme="minorHAnsi" w:hAnsiTheme="minorHAnsi"/>
          <w:sz w:val="28"/>
          <w:szCs w:val="28"/>
        </w:rPr>
        <w:t xml:space="preserve"> </w:t>
      </w:r>
      <w:r w:rsidR="00C968A9">
        <w:rPr>
          <w:rFonts w:asciiTheme="minorHAnsi" w:hAnsiTheme="minorHAnsi"/>
          <w:sz w:val="28"/>
          <w:szCs w:val="28"/>
        </w:rPr>
        <w:t>2.</w:t>
      </w:r>
      <w:r w:rsidR="00DE3926" w:rsidRPr="00A210CF">
        <w:rPr>
          <w:rFonts w:asciiTheme="minorHAnsi" w:hAnsiTheme="minorHAnsi"/>
          <w:sz w:val="28"/>
          <w:szCs w:val="28"/>
        </w:rPr>
        <w:t xml:space="preserve"> og </w:t>
      </w:r>
      <w:r w:rsidR="00C968A9">
        <w:rPr>
          <w:rFonts w:asciiTheme="minorHAnsi" w:hAnsiTheme="minorHAnsi"/>
          <w:sz w:val="28"/>
          <w:szCs w:val="28"/>
        </w:rPr>
        <w:t>4.</w:t>
      </w:r>
      <w:r w:rsidR="00DE3926" w:rsidRPr="00A210CF">
        <w:rPr>
          <w:rFonts w:asciiTheme="minorHAnsi" w:hAnsiTheme="minorHAnsi"/>
          <w:sz w:val="28"/>
          <w:szCs w:val="28"/>
        </w:rPr>
        <w:t xml:space="preserve"> </w:t>
      </w:r>
      <w:r w:rsidR="00C968A9" w:rsidRPr="00A210CF">
        <w:rPr>
          <w:rFonts w:asciiTheme="minorHAnsi" w:hAnsiTheme="minorHAnsi"/>
          <w:sz w:val="28"/>
          <w:szCs w:val="28"/>
        </w:rPr>
        <w:t>L</w:t>
      </w:r>
      <w:r w:rsidR="00DE3926" w:rsidRPr="00A210CF">
        <w:rPr>
          <w:rFonts w:asciiTheme="minorHAnsi" w:hAnsiTheme="minorHAnsi"/>
          <w:sz w:val="28"/>
          <w:szCs w:val="28"/>
        </w:rPr>
        <w:t>edd</w:t>
      </w:r>
      <w:r w:rsidR="00C968A9">
        <w:rPr>
          <w:rFonts w:asciiTheme="minorHAnsi" w:hAnsiTheme="minorHAnsi"/>
          <w:sz w:val="28"/>
          <w:szCs w:val="28"/>
        </w:rPr>
        <w:t>,</w:t>
      </w:r>
      <w:r w:rsidR="00DE3926" w:rsidRPr="00A210CF">
        <w:rPr>
          <w:rFonts w:asciiTheme="minorHAnsi" w:hAnsiTheme="minorHAnsi"/>
          <w:sz w:val="28"/>
          <w:szCs w:val="28"/>
        </w:rPr>
        <w:t xml:space="preserve"> takseres de skattepliktige eiendommene i kommunen av en n</w:t>
      </w:r>
      <w:r w:rsidR="0005684C">
        <w:rPr>
          <w:rFonts w:asciiTheme="minorHAnsi" w:hAnsiTheme="minorHAnsi"/>
          <w:sz w:val="28"/>
          <w:szCs w:val="28"/>
        </w:rPr>
        <w:t>emnd oppnevnt av kommunestyret.</w:t>
      </w:r>
    </w:p>
    <w:p w:rsidR="0005684C" w:rsidRDefault="0005684C" w:rsidP="0005684C">
      <w:pPr>
        <w:pStyle w:val="Brdtekst"/>
        <w:spacing w:before="43" w:line="276" w:lineRule="auto"/>
        <w:ind w:right="732"/>
        <w:rPr>
          <w:rFonts w:asciiTheme="minorHAnsi" w:hAnsiTheme="minorHAnsi"/>
          <w:sz w:val="28"/>
          <w:szCs w:val="28"/>
        </w:rPr>
      </w:pPr>
    </w:p>
    <w:p w:rsidR="0005684C" w:rsidRPr="00A210CF" w:rsidRDefault="00E60032" w:rsidP="0005684C">
      <w:pPr>
        <w:pStyle w:val="Brdtekst"/>
        <w:spacing w:before="43" w:line="276" w:lineRule="auto"/>
        <w:ind w:right="732"/>
        <w:rPr>
          <w:rFonts w:asciiTheme="minorHAnsi" w:hAnsiTheme="minorHAnsi"/>
          <w:sz w:val="28"/>
          <w:szCs w:val="28"/>
        </w:rPr>
      </w:pPr>
      <w:r>
        <w:rPr>
          <w:rFonts w:asciiTheme="minorHAnsi" w:hAnsiTheme="minorHAnsi"/>
          <w:sz w:val="28"/>
          <w:szCs w:val="28"/>
        </w:rPr>
        <w:t>Med hjemmel i eiendomsskattelovens § 8 A-1, 3. Ledd</w:t>
      </w:r>
      <w:r w:rsidR="00C968A9">
        <w:rPr>
          <w:rFonts w:asciiTheme="minorHAnsi" w:hAnsiTheme="minorHAnsi"/>
          <w:sz w:val="28"/>
          <w:szCs w:val="28"/>
        </w:rPr>
        <w:t>,</w:t>
      </w:r>
      <w:r>
        <w:rPr>
          <w:rFonts w:asciiTheme="minorHAnsi" w:hAnsiTheme="minorHAnsi"/>
          <w:sz w:val="28"/>
          <w:szCs w:val="28"/>
        </w:rPr>
        <w:t xml:space="preserve"> verdsettes boligeiendommer </w:t>
      </w:r>
      <w:r w:rsidR="002678F9">
        <w:rPr>
          <w:rFonts w:asciiTheme="minorHAnsi" w:hAnsiTheme="minorHAnsi"/>
          <w:sz w:val="28"/>
          <w:szCs w:val="28"/>
        </w:rPr>
        <w:t xml:space="preserve">i stedet </w:t>
      </w:r>
      <w:r>
        <w:rPr>
          <w:rFonts w:asciiTheme="minorHAnsi" w:hAnsiTheme="minorHAnsi"/>
          <w:sz w:val="28"/>
          <w:szCs w:val="28"/>
        </w:rPr>
        <w:t>etter regelen i eie</w:t>
      </w:r>
      <w:r w:rsidR="00750AAA">
        <w:rPr>
          <w:rFonts w:asciiTheme="minorHAnsi" w:hAnsiTheme="minorHAnsi"/>
          <w:sz w:val="28"/>
          <w:szCs w:val="28"/>
        </w:rPr>
        <w:t>n</w:t>
      </w:r>
      <w:r>
        <w:rPr>
          <w:rFonts w:asciiTheme="minorHAnsi" w:hAnsiTheme="minorHAnsi"/>
          <w:sz w:val="28"/>
          <w:szCs w:val="28"/>
        </w:rPr>
        <w:t>dom</w:t>
      </w:r>
      <w:r w:rsidR="00750AAA">
        <w:rPr>
          <w:rFonts w:asciiTheme="minorHAnsi" w:hAnsiTheme="minorHAnsi"/>
          <w:sz w:val="28"/>
          <w:szCs w:val="28"/>
        </w:rPr>
        <w:t>s</w:t>
      </w:r>
      <w:r>
        <w:rPr>
          <w:rFonts w:asciiTheme="minorHAnsi" w:hAnsiTheme="minorHAnsi"/>
          <w:sz w:val="28"/>
          <w:szCs w:val="28"/>
        </w:rPr>
        <w:t>skattelovens § 8 C</w:t>
      </w:r>
      <w:r w:rsidR="00C968A9">
        <w:rPr>
          <w:rFonts w:asciiTheme="minorHAnsi" w:hAnsiTheme="minorHAnsi"/>
          <w:sz w:val="28"/>
          <w:szCs w:val="28"/>
        </w:rPr>
        <w:t xml:space="preserve">, </w:t>
      </w:r>
      <w:r w:rsidR="0005684C">
        <w:rPr>
          <w:rFonts w:asciiTheme="minorHAnsi" w:hAnsiTheme="minorHAnsi"/>
          <w:sz w:val="28"/>
          <w:szCs w:val="28"/>
        </w:rPr>
        <w:t>hvor takstverdien for boligeiendommer skal bygge på verdien som blir satt på eiendommen av Skatteetaten ved fastsetting av formues- og inntektsskatt året før skatteåret i samsvar med § 8 C-1,  2., 3. Og 4 ledd.</w:t>
      </w:r>
    </w:p>
    <w:p w:rsidR="0013453A" w:rsidRDefault="0013453A" w:rsidP="00DE3926">
      <w:pPr>
        <w:pStyle w:val="Brdtekst"/>
        <w:spacing w:before="46" w:line="276" w:lineRule="auto"/>
        <w:ind w:right="697"/>
        <w:rPr>
          <w:rFonts w:asciiTheme="minorHAnsi" w:hAnsiTheme="minorHAnsi"/>
          <w:sz w:val="28"/>
          <w:szCs w:val="28"/>
        </w:rPr>
      </w:pPr>
    </w:p>
    <w:p w:rsidR="00DE3926" w:rsidRPr="00A210CF" w:rsidRDefault="00ED3730" w:rsidP="00DE3926">
      <w:pPr>
        <w:pStyle w:val="Brdtekst"/>
        <w:spacing w:before="46" w:line="276" w:lineRule="auto"/>
        <w:ind w:right="697"/>
        <w:rPr>
          <w:rFonts w:asciiTheme="minorHAnsi" w:hAnsiTheme="minorHAnsi"/>
          <w:sz w:val="28"/>
          <w:szCs w:val="28"/>
        </w:rPr>
      </w:pPr>
      <w:r>
        <w:rPr>
          <w:rFonts w:asciiTheme="minorHAnsi" w:hAnsiTheme="minorHAnsi"/>
          <w:sz w:val="28"/>
          <w:szCs w:val="28"/>
        </w:rPr>
        <w:t>Takseringsretningslinjene</w:t>
      </w:r>
      <w:r w:rsidR="00DE3926" w:rsidRPr="00A210CF">
        <w:rPr>
          <w:rFonts w:asciiTheme="minorHAnsi" w:hAnsiTheme="minorHAnsi"/>
          <w:sz w:val="28"/>
          <w:szCs w:val="28"/>
        </w:rPr>
        <w:t xml:space="preserve"> </w:t>
      </w:r>
      <w:r w:rsidR="00C968A9">
        <w:rPr>
          <w:rFonts w:asciiTheme="minorHAnsi" w:hAnsiTheme="minorHAnsi"/>
          <w:sz w:val="28"/>
          <w:szCs w:val="28"/>
        </w:rPr>
        <w:t xml:space="preserve">for eiendommer </w:t>
      </w:r>
      <w:r w:rsidR="00DE3926" w:rsidRPr="00A210CF">
        <w:rPr>
          <w:rFonts w:asciiTheme="minorHAnsi" w:hAnsiTheme="minorHAnsi"/>
          <w:sz w:val="28"/>
          <w:szCs w:val="28"/>
        </w:rPr>
        <w:t>skal sikre korrekte takstnivåer og likebehandling av skattyterne, og er et nødvendig verktøy i nemndas arbeid.</w:t>
      </w:r>
    </w:p>
    <w:p w:rsidR="00DE3926" w:rsidRPr="00A210CF" w:rsidRDefault="00DE3926" w:rsidP="00DE3926">
      <w:pPr>
        <w:pStyle w:val="Brdtekst"/>
        <w:spacing w:before="46" w:line="276" w:lineRule="auto"/>
        <w:ind w:right="697"/>
        <w:rPr>
          <w:rFonts w:asciiTheme="minorHAnsi" w:hAnsiTheme="minorHAnsi"/>
          <w:sz w:val="28"/>
          <w:szCs w:val="28"/>
        </w:rPr>
      </w:pPr>
    </w:p>
    <w:p w:rsidR="00DE3926" w:rsidRPr="00A210CF" w:rsidRDefault="00DE3926" w:rsidP="00DE3926">
      <w:pPr>
        <w:pStyle w:val="Overskrift2"/>
        <w:ind w:left="0"/>
        <w:rPr>
          <w:rFonts w:asciiTheme="minorHAnsi" w:hAnsiTheme="minorHAnsi"/>
          <w:sz w:val="28"/>
          <w:szCs w:val="28"/>
        </w:rPr>
      </w:pPr>
      <w:r w:rsidRPr="00A210CF">
        <w:rPr>
          <w:rFonts w:asciiTheme="minorHAnsi" w:hAnsiTheme="minorHAnsi"/>
          <w:color w:val="00AFEF"/>
          <w:sz w:val="28"/>
          <w:szCs w:val="28"/>
        </w:rPr>
        <w:t>Verdsettelsesnorm</w:t>
      </w:r>
    </w:p>
    <w:p w:rsidR="00DE3926" w:rsidRDefault="00DE3926" w:rsidP="00DE3926">
      <w:pPr>
        <w:pStyle w:val="Brdtekst"/>
        <w:spacing w:before="43" w:line="276" w:lineRule="auto"/>
        <w:ind w:right="732"/>
        <w:rPr>
          <w:rFonts w:asciiTheme="minorHAnsi" w:hAnsiTheme="minorHAnsi"/>
          <w:sz w:val="28"/>
          <w:szCs w:val="28"/>
        </w:rPr>
      </w:pPr>
      <w:r w:rsidRPr="00A210CF">
        <w:rPr>
          <w:rFonts w:asciiTheme="minorHAnsi" w:hAnsiTheme="minorHAnsi"/>
          <w:sz w:val="28"/>
          <w:szCs w:val="28"/>
        </w:rPr>
        <w:t>Etter eiendomsskatteloven § 8 A-2 første ledd skal takstverdien fastsettes til det beløp det må antas at eiendommen ut fra dens «</w:t>
      </w:r>
      <w:r w:rsidRPr="00A210CF">
        <w:rPr>
          <w:rFonts w:asciiTheme="minorHAnsi" w:hAnsiTheme="minorHAnsi"/>
          <w:i/>
          <w:sz w:val="28"/>
          <w:szCs w:val="28"/>
        </w:rPr>
        <w:t>innretning, bruksegenskap og beliggenhet</w:t>
      </w:r>
      <w:r w:rsidRPr="00A210CF">
        <w:rPr>
          <w:rFonts w:asciiTheme="minorHAnsi" w:hAnsiTheme="minorHAnsi"/>
          <w:sz w:val="28"/>
          <w:szCs w:val="28"/>
        </w:rPr>
        <w:t>» kan bli avhendet for</w:t>
      </w:r>
      <w:r w:rsidR="0013453A">
        <w:rPr>
          <w:rFonts w:asciiTheme="minorHAnsi" w:hAnsiTheme="minorHAnsi"/>
          <w:sz w:val="28"/>
          <w:szCs w:val="28"/>
        </w:rPr>
        <w:t>,</w:t>
      </w:r>
      <w:r w:rsidRPr="00A210CF">
        <w:rPr>
          <w:rFonts w:asciiTheme="minorHAnsi" w:hAnsiTheme="minorHAnsi"/>
          <w:sz w:val="28"/>
          <w:szCs w:val="28"/>
        </w:rPr>
        <w:t xml:space="preserve"> ved fritt salg under vanlige omsetningsforhold, dvs eiendommens alminnelige omsetningsverdi.</w:t>
      </w:r>
    </w:p>
    <w:p w:rsidR="00DE3926" w:rsidRPr="00A210CF" w:rsidRDefault="00DE3926" w:rsidP="00DE3926">
      <w:pPr>
        <w:pStyle w:val="Brdtekst"/>
        <w:spacing w:before="8"/>
        <w:rPr>
          <w:rFonts w:asciiTheme="minorHAnsi" w:hAnsiTheme="minorHAnsi"/>
          <w:sz w:val="28"/>
          <w:szCs w:val="28"/>
        </w:rPr>
      </w:pPr>
    </w:p>
    <w:p w:rsidR="00DE3926" w:rsidRPr="00A210CF" w:rsidRDefault="00DE3926" w:rsidP="00DE3926">
      <w:pPr>
        <w:pStyle w:val="Overskrift2"/>
        <w:ind w:left="0"/>
        <w:rPr>
          <w:rFonts w:asciiTheme="minorHAnsi" w:hAnsiTheme="minorHAnsi"/>
          <w:sz w:val="28"/>
          <w:szCs w:val="28"/>
        </w:rPr>
      </w:pPr>
      <w:r w:rsidRPr="00A210CF">
        <w:rPr>
          <w:rFonts w:asciiTheme="minorHAnsi" w:hAnsiTheme="minorHAnsi"/>
          <w:color w:val="00AFEF"/>
          <w:sz w:val="28"/>
          <w:szCs w:val="28"/>
        </w:rPr>
        <w:t>Takseringsmetode</w:t>
      </w:r>
    </w:p>
    <w:p w:rsidR="00DE3926" w:rsidRPr="00A210CF" w:rsidRDefault="00DE3926" w:rsidP="00DE3926">
      <w:pPr>
        <w:pStyle w:val="Brdtekst"/>
        <w:spacing w:before="43" w:line="276" w:lineRule="auto"/>
        <w:ind w:right="746"/>
        <w:rPr>
          <w:rFonts w:asciiTheme="minorHAnsi" w:hAnsiTheme="minorHAnsi"/>
          <w:sz w:val="28"/>
          <w:szCs w:val="28"/>
        </w:rPr>
      </w:pPr>
      <w:r w:rsidRPr="00A210CF">
        <w:rPr>
          <w:rFonts w:asciiTheme="minorHAnsi" w:hAnsiTheme="minorHAnsi"/>
          <w:sz w:val="28"/>
          <w:szCs w:val="28"/>
        </w:rPr>
        <w:t>Ved takseringen benyttes prisopplysninger fra tidligere salg, prisstatistikker og databaser, samt lokalkunnskap, for å finne normal markedspris per kvadratmeter for den enkelte eiendomstype – i kommunen samlet eller i de enkelte deler av kommunen (inndeling i pris- soner). Normalprisene (sjablongprisene) fastse</w:t>
      </w:r>
      <w:r w:rsidR="002C577E">
        <w:rPr>
          <w:rFonts w:asciiTheme="minorHAnsi" w:hAnsiTheme="minorHAnsi"/>
          <w:sz w:val="28"/>
          <w:szCs w:val="28"/>
        </w:rPr>
        <w:t>ttes med en forsiktighetsmargin tilsvarende den faktor som skal benyttes i § 8 C-1, 2. Ledd, 1. Setning.</w:t>
      </w:r>
    </w:p>
    <w:p w:rsidR="00DE3926" w:rsidRPr="00A210CF" w:rsidRDefault="00DE3926" w:rsidP="00DE3926">
      <w:pPr>
        <w:pStyle w:val="Brdtekst"/>
        <w:spacing w:before="8"/>
        <w:rPr>
          <w:rFonts w:asciiTheme="minorHAnsi" w:hAnsiTheme="minorHAnsi"/>
          <w:sz w:val="28"/>
          <w:szCs w:val="28"/>
        </w:rPr>
      </w:pPr>
    </w:p>
    <w:p w:rsidR="00DE3926" w:rsidRPr="00A210CF" w:rsidRDefault="002C577E" w:rsidP="00DE3926">
      <w:pPr>
        <w:pStyle w:val="Brdtekst"/>
        <w:spacing w:line="276" w:lineRule="auto"/>
        <w:ind w:right="676"/>
        <w:rPr>
          <w:rFonts w:asciiTheme="minorHAnsi" w:hAnsiTheme="minorHAnsi"/>
          <w:sz w:val="28"/>
          <w:szCs w:val="28"/>
        </w:rPr>
      </w:pPr>
      <w:r>
        <w:rPr>
          <w:rFonts w:asciiTheme="minorHAnsi" w:hAnsiTheme="minorHAnsi"/>
          <w:sz w:val="28"/>
          <w:szCs w:val="28"/>
        </w:rPr>
        <w:t>Med unntak av boligeiendommer verdsatt etter bestemmelsene i § 8 C</w:t>
      </w:r>
      <w:r w:rsidR="00673BC1">
        <w:rPr>
          <w:rFonts w:asciiTheme="minorHAnsi" w:hAnsiTheme="minorHAnsi"/>
          <w:sz w:val="28"/>
          <w:szCs w:val="28"/>
        </w:rPr>
        <w:t>-1</w:t>
      </w:r>
      <w:r>
        <w:rPr>
          <w:rFonts w:asciiTheme="minorHAnsi" w:hAnsiTheme="minorHAnsi"/>
          <w:sz w:val="28"/>
          <w:szCs w:val="28"/>
        </w:rPr>
        <w:t xml:space="preserve">, </w:t>
      </w:r>
      <w:r w:rsidR="00673BC1">
        <w:rPr>
          <w:rFonts w:asciiTheme="minorHAnsi" w:hAnsiTheme="minorHAnsi"/>
          <w:sz w:val="28"/>
          <w:szCs w:val="28"/>
        </w:rPr>
        <w:t>skal e</w:t>
      </w:r>
      <w:r w:rsidR="00DE3926" w:rsidRPr="00A210CF">
        <w:rPr>
          <w:rFonts w:asciiTheme="minorHAnsi" w:hAnsiTheme="minorHAnsi"/>
          <w:sz w:val="28"/>
          <w:szCs w:val="28"/>
        </w:rPr>
        <w:t>iendommene besiktiges utvendig. Ved besiktigelsen foretas en skjønnsmessig vurdering av individuelle forhold ved den enkelte eiendom og omgivelsene som kan føre til at beregnet forslag til takst justeres opp eller ned.</w:t>
      </w:r>
    </w:p>
    <w:p w:rsidR="00DE3926" w:rsidRPr="00A210CF" w:rsidRDefault="00DE3926" w:rsidP="00DE3926">
      <w:pPr>
        <w:pStyle w:val="Overskrift2"/>
        <w:spacing w:before="181"/>
        <w:ind w:left="0"/>
        <w:rPr>
          <w:rFonts w:asciiTheme="minorHAnsi" w:hAnsiTheme="minorHAnsi"/>
          <w:sz w:val="28"/>
          <w:szCs w:val="28"/>
        </w:rPr>
      </w:pPr>
      <w:r w:rsidRPr="00A210CF">
        <w:rPr>
          <w:rFonts w:asciiTheme="minorHAnsi" w:hAnsiTheme="minorHAnsi"/>
          <w:color w:val="00AFEF"/>
          <w:sz w:val="28"/>
          <w:szCs w:val="28"/>
        </w:rPr>
        <w:t>Retningslinjenes karakter og virkeområde</w:t>
      </w:r>
    </w:p>
    <w:p w:rsidR="00DE3926" w:rsidRPr="00A210CF" w:rsidRDefault="00DE3926" w:rsidP="00DE3926">
      <w:pPr>
        <w:pStyle w:val="Brdtekst"/>
        <w:spacing w:before="43" w:line="276" w:lineRule="auto"/>
        <w:ind w:right="1102"/>
        <w:jc w:val="both"/>
        <w:rPr>
          <w:rFonts w:asciiTheme="minorHAnsi" w:hAnsiTheme="minorHAnsi"/>
          <w:sz w:val="28"/>
          <w:szCs w:val="28"/>
        </w:rPr>
      </w:pPr>
      <w:r w:rsidRPr="00A210CF">
        <w:rPr>
          <w:rFonts w:asciiTheme="minorHAnsi" w:hAnsiTheme="minorHAnsi"/>
          <w:sz w:val="28"/>
          <w:szCs w:val="28"/>
        </w:rPr>
        <w:t>Retningslinjenes sjablongpriser og faktormatriser legges normalt til grunn, men fravikes dersom de i enkelttilfeller vil føre til en takst som nemnda vurderer er klart uriktig sett i forhold til lovens verdsettelsesnorm eller prinsippet om likebehandling.</w:t>
      </w:r>
    </w:p>
    <w:p w:rsidR="00DE3926" w:rsidRPr="00A210CF" w:rsidRDefault="00DE3926" w:rsidP="00DE3926">
      <w:pPr>
        <w:pStyle w:val="Brdtekst"/>
        <w:spacing w:before="8"/>
        <w:rPr>
          <w:rFonts w:asciiTheme="minorHAnsi" w:hAnsiTheme="minorHAnsi"/>
          <w:sz w:val="28"/>
          <w:szCs w:val="28"/>
        </w:rPr>
      </w:pPr>
    </w:p>
    <w:p w:rsidR="00DE3926" w:rsidRPr="00A210CF" w:rsidRDefault="00DE3926" w:rsidP="00DE3926">
      <w:pPr>
        <w:pStyle w:val="Brdtekst"/>
        <w:spacing w:line="276" w:lineRule="auto"/>
        <w:ind w:right="664"/>
        <w:rPr>
          <w:rFonts w:asciiTheme="minorHAnsi" w:hAnsiTheme="minorHAnsi"/>
          <w:sz w:val="28"/>
          <w:szCs w:val="28"/>
        </w:rPr>
      </w:pPr>
      <w:r w:rsidRPr="00A210CF">
        <w:rPr>
          <w:rFonts w:asciiTheme="minorHAnsi" w:hAnsiTheme="minorHAnsi"/>
          <w:sz w:val="28"/>
          <w:szCs w:val="28"/>
        </w:rPr>
        <w:t>Etter eiendomsskatteloven § 8 A-3 første ledd skal eiendomsmassen som hovedregel takseres hvert tiende år. Disse takseringsretningslinjene og sjablongprisene som er fastsatt i dem skal benyttes gjennom hele takstperioden, inntil neste hovedtaksering («</w:t>
      </w:r>
      <w:r w:rsidRPr="00A210CF">
        <w:rPr>
          <w:rFonts w:asciiTheme="minorHAnsi" w:hAnsiTheme="minorHAnsi"/>
          <w:i/>
          <w:sz w:val="28"/>
          <w:szCs w:val="28"/>
        </w:rPr>
        <w:t>alminnelig taksering</w:t>
      </w:r>
      <w:r w:rsidRPr="00A210CF">
        <w:rPr>
          <w:rFonts w:asciiTheme="minorHAnsi" w:hAnsiTheme="minorHAnsi"/>
          <w:sz w:val="28"/>
          <w:szCs w:val="28"/>
        </w:rPr>
        <w:t>»).</w:t>
      </w:r>
    </w:p>
    <w:p w:rsidR="00DE3926" w:rsidRPr="00A210CF" w:rsidRDefault="00DE3926" w:rsidP="00DE3926">
      <w:pPr>
        <w:pStyle w:val="Brdtekst"/>
        <w:spacing w:before="8"/>
        <w:rPr>
          <w:rFonts w:asciiTheme="minorHAnsi" w:hAnsiTheme="minorHAnsi"/>
          <w:sz w:val="28"/>
          <w:szCs w:val="28"/>
        </w:rPr>
      </w:pPr>
    </w:p>
    <w:p w:rsidR="00DE3926" w:rsidRPr="00A210CF" w:rsidRDefault="00DE3926" w:rsidP="00DE3926">
      <w:pPr>
        <w:pStyle w:val="Overskrift2"/>
        <w:ind w:left="0"/>
        <w:rPr>
          <w:rFonts w:asciiTheme="minorHAnsi" w:hAnsiTheme="minorHAnsi"/>
          <w:sz w:val="28"/>
          <w:szCs w:val="28"/>
        </w:rPr>
      </w:pPr>
      <w:r w:rsidRPr="00A210CF">
        <w:rPr>
          <w:rFonts w:asciiTheme="minorHAnsi" w:hAnsiTheme="minorHAnsi"/>
          <w:color w:val="00AFEF"/>
          <w:sz w:val="28"/>
          <w:szCs w:val="28"/>
        </w:rPr>
        <w:t>Måleenheter</w:t>
      </w:r>
    </w:p>
    <w:p w:rsidR="00DE3926" w:rsidRPr="00A210CF" w:rsidRDefault="00DE3926" w:rsidP="00DE3926">
      <w:pPr>
        <w:pStyle w:val="Brdtekst"/>
        <w:spacing w:before="43" w:line="276" w:lineRule="auto"/>
        <w:ind w:right="557"/>
        <w:rPr>
          <w:rFonts w:asciiTheme="minorHAnsi" w:hAnsiTheme="minorHAnsi"/>
          <w:sz w:val="28"/>
          <w:szCs w:val="28"/>
        </w:rPr>
      </w:pPr>
      <w:r w:rsidRPr="00A210CF">
        <w:rPr>
          <w:rFonts w:asciiTheme="minorHAnsi" w:hAnsiTheme="minorHAnsi"/>
          <w:sz w:val="28"/>
          <w:szCs w:val="28"/>
        </w:rPr>
        <w:t>Ved taksering av bygningsarealer benyttes «bruksareal» (BRA), som definert i Føringsinstruks for Matrikkelen. For åpne, overbyggede arealer benyttes «bebygd areal» (BYA).</w:t>
      </w:r>
    </w:p>
    <w:p w:rsidR="002D4595" w:rsidRPr="00A210CF" w:rsidRDefault="002D4595" w:rsidP="00DE3926">
      <w:pPr>
        <w:pStyle w:val="Brdtekst"/>
        <w:spacing w:before="46" w:line="276" w:lineRule="auto"/>
        <w:ind w:right="697"/>
        <w:rPr>
          <w:rFonts w:asciiTheme="minorHAnsi" w:hAnsiTheme="minorHAnsi"/>
          <w:sz w:val="28"/>
          <w:szCs w:val="28"/>
        </w:rPr>
      </w:pPr>
    </w:p>
    <w:p w:rsidR="002D4595" w:rsidRDefault="002D4595" w:rsidP="00DE3926">
      <w:pPr>
        <w:pStyle w:val="Brdtekst"/>
        <w:spacing w:before="46" w:line="276" w:lineRule="auto"/>
        <w:ind w:right="697"/>
        <w:rPr>
          <w:rFonts w:asciiTheme="minorHAnsi" w:hAnsiTheme="minorHAnsi"/>
          <w:sz w:val="28"/>
          <w:szCs w:val="28"/>
        </w:rPr>
      </w:pPr>
    </w:p>
    <w:p w:rsidR="00EF0E7B" w:rsidRDefault="00EF0E7B" w:rsidP="00DE3926">
      <w:pPr>
        <w:pStyle w:val="Brdtekst"/>
        <w:spacing w:before="46" w:line="276" w:lineRule="auto"/>
        <w:ind w:right="697"/>
        <w:rPr>
          <w:rFonts w:asciiTheme="minorHAnsi" w:hAnsiTheme="minorHAnsi"/>
          <w:sz w:val="28"/>
          <w:szCs w:val="28"/>
        </w:rPr>
      </w:pPr>
    </w:p>
    <w:p w:rsidR="00EF0E7B" w:rsidRPr="00A210CF" w:rsidRDefault="00EF0E7B" w:rsidP="00DE3926">
      <w:pPr>
        <w:pStyle w:val="Brdtekst"/>
        <w:spacing w:before="46" w:line="276" w:lineRule="auto"/>
        <w:ind w:right="697"/>
        <w:rPr>
          <w:rFonts w:asciiTheme="minorHAnsi" w:hAnsiTheme="minorHAnsi"/>
          <w:sz w:val="28"/>
          <w:szCs w:val="28"/>
        </w:rPr>
      </w:pPr>
    </w:p>
    <w:p w:rsidR="00DE3926" w:rsidRPr="00A210CF" w:rsidRDefault="002D4595" w:rsidP="002D4595">
      <w:pPr>
        <w:rPr>
          <w:i/>
          <w:sz w:val="28"/>
          <w:szCs w:val="28"/>
          <w:lang w:val="nb"/>
        </w:rPr>
      </w:pPr>
      <w:r w:rsidRPr="00A210CF">
        <w:rPr>
          <w:i/>
          <w:sz w:val="28"/>
          <w:szCs w:val="28"/>
          <w:lang w:val="nb"/>
        </w:rPr>
        <w:t>Forslag til takst før vurdering av individuelle forhold ved den enkelte eiendom</w:t>
      </w:r>
    </w:p>
    <w:p w:rsidR="002D4595" w:rsidRPr="00A210CF" w:rsidRDefault="002D4595" w:rsidP="002D4595">
      <w:pPr>
        <w:rPr>
          <w:sz w:val="28"/>
          <w:szCs w:val="28"/>
          <w:lang w:val="nb"/>
        </w:rPr>
      </w:pPr>
    </w:p>
    <w:p w:rsidR="002D4595" w:rsidRPr="00A210CF" w:rsidRDefault="002D4595" w:rsidP="002D4595">
      <w:pPr>
        <w:pStyle w:val="Overskrift1"/>
        <w:keepNext w:val="0"/>
        <w:keepLines w:val="0"/>
        <w:widowControl w:val="0"/>
        <w:tabs>
          <w:tab w:val="left" w:pos="824"/>
        </w:tabs>
        <w:autoSpaceDE w:val="0"/>
        <w:autoSpaceDN w:val="0"/>
        <w:spacing w:before="0" w:line="240" w:lineRule="auto"/>
        <w:rPr>
          <w:rFonts w:asciiTheme="minorHAnsi" w:hAnsiTheme="minorHAnsi"/>
          <w:sz w:val="28"/>
          <w:szCs w:val="28"/>
        </w:rPr>
      </w:pPr>
      <w:r w:rsidRPr="00A210CF">
        <w:rPr>
          <w:rFonts w:asciiTheme="minorHAnsi" w:hAnsiTheme="minorHAnsi"/>
          <w:color w:val="00AFEF"/>
          <w:sz w:val="28"/>
          <w:szCs w:val="28"/>
        </w:rPr>
        <w:t>Metode for fastsetting av forslag til</w:t>
      </w:r>
      <w:r w:rsidRPr="00A210CF">
        <w:rPr>
          <w:rFonts w:asciiTheme="minorHAnsi" w:hAnsiTheme="minorHAnsi"/>
          <w:color w:val="00AFEF"/>
          <w:spacing w:val="-6"/>
          <w:sz w:val="28"/>
          <w:szCs w:val="28"/>
        </w:rPr>
        <w:t xml:space="preserve"> </w:t>
      </w:r>
      <w:r w:rsidRPr="00A210CF">
        <w:rPr>
          <w:rFonts w:asciiTheme="minorHAnsi" w:hAnsiTheme="minorHAnsi"/>
          <w:color w:val="00AFEF"/>
          <w:sz w:val="28"/>
          <w:szCs w:val="28"/>
        </w:rPr>
        <w:t>takst</w:t>
      </w:r>
    </w:p>
    <w:p w:rsidR="002D4595" w:rsidRPr="00A210CF" w:rsidRDefault="002D4595" w:rsidP="002D4595">
      <w:pPr>
        <w:pStyle w:val="Brdtekst"/>
        <w:spacing w:before="9"/>
        <w:rPr>
          <w:rFonts w:asciiTheme="minorHAnsi" w:hAnsiTheme="minorHAnsi"/>
          <w:b/>
          <w:sz w:val="28"/>
          <w:szCs w:val="28"/>
          <w:lang w:val="nb-NO"/>
        </w:rPr>
      </w:pPr>
    </w:p>
    <w:p w:rsidR="002D4595" w:rsidRPr="00A210CF" w:rsidRDefault="002D4595" w:rsidP="002D4595">
      <w:pPr>
        <w:pStyle w:val="Overskrift2"/>
        <w:ind w:left="0"/>
        <w:rPr>
          <w:rFonts w:asciiTheme="minorHAnsi" w:hAnsiTheme="minorHAnsi"/>
          <w:sz w:val="28"/>
          <w:szCs w:val="28"/>
        </w:rPr>
      </w:pPr>
      <w:r w:rsidRPr="00A210CF">
        <w:rPr>
          <w:rFonts w:asciiTheme="minorHAnsi" w:hAnsiTheme="minorHAnsi"/>
          <w:color w:val="00AFEF"/>
          <w:sz w:val="28"/>
          <w:szCs w:val="28"/>
        </w:rPr>
        <w:t>Bebygd eiendom</w:t>
      </w:r>
    </w:p>
    <w:p w:rsidR="002D4595" w:rsidRPr="00A210CF" w:rsidRDefault="002D4595" w:rsidP="002D4595">
      <w:pPr>
        <w:widowControl w:val="0"/>
        <w:tabs>
          <w:tab w:val="left" w:pos="704"/>
        </w:tabs>
        <w:autoSpaceDE w:val="0"/>
        <w:autoSpaceDN w:val="0"/>
        <w:spacing w:before="43" w:after="0" w:line="240" w:lineRule="auto"/>
        <w:rPr>
          <w:sz w:val="28"/>
          <w:szCs w:val="28"/>
        </w:rPr>
      </w:pPr>
      <w:r w:rsidRPr="00A210CF">
        <w:rPr>
          <w:sz w:val="28"/>
          <w:szCs w:val="28"/>
        </w:rPr>
        <w:t>Bygningens bruksareal multipliseres med</w:t>
      </w:r>
      <w:r w:rsidRPr="00A210CF">
        <w:rPr>
          <w:spacing w:val="-5"/>
          <w:sz w:val="28"/>
          <w:szCs w:val="28"/>
        </w:rPr>
        <w:t xml:space="preserve"> </w:t>
      </w:r>
      <w:r w:rsidRPr="00A210CF">
        <w:rPr>
          <w:sz w:val="28"/>
          <w:szCs w:val="28"/>
        </w:rPr>
        <w:t>arealfaktor</w:t>
      </w:r>
    </w:p>
    <w:p w:rsidR="002D4595" w:rsidRPr="00A210CF" w:rsidRDefault="002D4595" w:rsidP="00673BC1">
      <w:pPr>
        <w:widowControl w:val="0"/>
        <w:tabs>
          <w:tab w:val="left" w:pos="704"/>
        </w:tabs>
        <w:autoSpaceDE w:val="0"/>
        <w:autoSpaceDN w:val="0"/>
        <w:spacing w:before="43" w:after="0" w:line="240" w:lineRule="auto"/>
        <w:rPr>
          <w:sz w:val="28"/>
          <w:szCs w:val="28"/>
        </w:rPr>
      </w:pPr>
      <w:r w:rsidRPr="00A210CF">
        <w:rPr>
          <w:sz w:val="28"/>
          <w:szCs w:val="28"/>
        </w:rPr>
        <w:t>Tellende bruksareal multipliseres med sjablong kvadratmeterpris for</w:t>
      </w:r>
      <w:r w:rsidRPr="00A210CF">
        <w:rPr>
          <w:spacing w:val="-10"/>
          <w:sz w:val="28"/>
          <w:szCs w:val="28"/>
        </w:rPr>
        <w:t xml:space="preserve"> </w:t>
      </w:r>
      <w:r w:rsidRPr="00A210CF">
        <w:rPr>
          <w:sz w:val="28"/>
          <w:szCs w:val="28"/>
        </w:rPr>
        <w:t>bygningstypen</w:t>
      </w:r>
      <w:r w:rsidR="00673BC1">
        <w:rPr>
          <w:sz w:val="28"/>
          <w:szCs w:val="28"/>
        </w:rPr>
        <w:t xml:space="preserve">. </w:t>
      </w:r>
      <w:r w:rsidRPr="00A210CF">
        <w:rPr>
          <w:sz w:val="28"/>
          <w:szCs w:val="28"/>
        </w:rPr>
        <w:t xml:space="preserve">Summen </w:t>
      </w:r>
      <w:r w:rsidR="00673BC1">
        <w:rPr>
          <w:sz w:val="28"/>
          <w:szCs w:val="28"/>
        </w:rPr>
        <w:t>som nå fremkommer,</w:t>
      </w:r>
      <w:r w:rsidRPr="00A210CF">
        <w:rPr>
          <w:sz w:val="28"/>
          <w:szCs w:val="28"/>
        </w:rPr>
        <w:t xml:space="preserve"> multipliseres med eventuell</w:t>
      </w:r>
      <w:r w:rsidRPr="00A210CF">
        <w:rPr>
          <w:spacing w:val="-6"/>
          <w:sz w:val="28"/>
          <w:szCs w:val="28"/>
        </w:rPr>
        <w:t xml:space="preserve"> </w:t>
      </w:r>
      <w:r w:rsidRPr="00A210CF">
        <w:rPr>
          <w:sz w:val="28"/>
          <w:szCs w:val="28"/>
        </w:rPr>
        <w:t>sonefaktor</w:t>
      </w:r>
    </w:p>
    <w:p w:rsidR="002D4595" w:rsidRPr="00A210CF" w:rsidRDefault="002D4595" w:rsidP="002D4595">
      <w:pPr>
        <w:pStyle w:val="Brdtekst"/>
        <w:rPr>
          <w:rFonts w:asciiTheme="minorHAnsi" w:hAnsiTheme="minorHAnsi"/>
          <w:sz w:val="28"/>
          <w:szCs w:val="28"/>
        </w:rPr>
      </w:pPr>
    </w:p>
    <w:p w:rsidR="00EF0E7B" w:rsidRDefault="00EF0E7B" w:rsidP="002D4595">
      <w:pPr>
        <w:pStyle w:val="Overskrift2"/>
        <w:ind w:left="0"/>
        <w:rPr>
          <w:rFonts w:asciiTheme="minorHAnsi" w:hAnsiTheme="minorHAnsi"/>
          <w:color w:val="00AFEF"/>
          <w:sz w:val="28"/>
          <w:szCs w:val="28"/>
        </w:rPr>
      </w:pPr>
    </w:p>
    <w:p w:rsidR="002D4595" w:rsidRPr="00A210CF" w:rsidRDefault="002D4595" w:rsidP="002D4595">
      <w:pPr>
        <w:pStyle w:val="Overskrift2"/>
        <w:ind w:left="0"/>
        <w:rPr>
          <w:rFonts w:asciiTheme="minorHAnsi" w:hAnsiTheme="minorHAnsi"/>
          <w:sz w:val="28"/>
          <w:szCs w:val="28"/>
        </w:rPr>
      </w:pPr>
      <w:r w:rsidRPr="00A210CF">
        <w:rPr>
          <w:rFonts w:asciiTheme="minorHAnsi" w:hAnsiTheme="minorHAnsi"/>
          <w:color w:val="00AFEF"/>
          <w:sz w:val="28"/>
          <w:szCs w:val="28"/>
        </w:rPr>
        <w:t>Ubebygd eiendom</w:t>
      </w:r>
    </w:p>
    <w:p w:rsidR="00AF0F6A" w:rsidRDefault="00AF0F6A" w:rsidP="002D4595">
      <w:pPr>
        <w:pStyle w:val="Brdtekst"/>
        <w:spacing w:before="52" w:line="278" w:lineRule="auto"/>
        <w:ind w:right="698"/>
        <w:rPr>
          <w:rFonts w:asciiTheme="minorHAnsi" w:hAnsiTheme="minorHAnsi"/>
          <w:sz w:val="28"/>
          <w:szCs w:val="28"/>
        </w:rPr>
      </w:pPr>
    </w:p>
    <w:p w:rsidR="00AF0F6A" w:rsidRDefault="00AF0F6A" w:rsidP="00AF0F6A">
      <w:pPr>
        <w:autoSpaceDE w:val="0"/>
        <w:autoSpaceDN w:val="0"/>
        <w:adjustRightInd w:val="0"/>
        <w:spacing w:after="0" w:line="240" w:lineRule="auto"/>
        <w:rPr>
          <w:rFonts w:eastAsia="Calibri" w:cs="Calibri"/>
          <w:sz w:val="28"/>
          <w:szCs w:val="28"/>
          <w:lang w:val="nb" w:eastAsia="nb" w:bidi="nb"/>
        </w:rPr>
      </w:pPr>
      <w:r w:rsidRPr="00AF0F6A">
        <w:rPr>
          <w:rFonts w:eastAsia="Calibri" w:cs="Calibri"/>
          <w:sz w:val="28"/>
          <w:szCs w:val="28"/>
          <w:lang w:val="nb" w:eastAsia="nb" w:bidi="nb"/>
        </w:rPr>
        <w:t>Praksis de siste 14 år med å frita ubebygde eiendommer fra eiendomsskatt og å sette verdien i null, vedtas å gjelde videre.</w:t>
      </w:r>
    </w:p>
    <w:p w:rsidR="00AF0F6A" w:rsidRPr="00AF0F6A" w:rsidRDefault="00AF0F6A" w:rsidP="00AF0F6A">
      <w:pPr>
        <w:autoSpaceDE w:val="0"/>
        <w:autoSpaceDN w:val="0"/>
        <w:adjustRightInd w:val="0"/>
        <w:spacing w:after="0" w:line="240" w:lineRule="auto"/>
        <w:rPr>
          <w:rFonts w:eastAsia="Calibri" w:cs="Calibri"/>
          <w:sz w:val="28"/>
          <w:szCs w:val="28"/>
          <w:lang w:val="nb" w:eastAsia="nb" w:bidi="nb"/>
        </w:rPr>
      </w:pPr>
    </w:p>
    <w:p w:rsidR="00AF0F6A" w:rsidRPr="00AF0F6A" w:rsidRDefault="00AF0F6A" w:rsidP="00AF0F6A">
      <w:pPr>
        <w:autoSpaceDE w:val="0"/>
        <w:autoSpaceDN w:val="0"/>
        <w:adjustRightInd w:val="0"/>
        <w:spacing w:after="300" w:line="240" w:lineRule="auto"/>
        <w:rPr>
          <w:rFonts w:eastAsia="Calibri" w:cs="Calibri"/>
          <w:sz w:val="28"/>
          <w:szCs w:val="28"/>
          <w:lang w:val="nb" w:eastAsia="nb" w:bidi="nb"/>
        </w:rPr>
      </w:pPr>
      <w:r w:rsidRPr="00AF0F6A">
        <w:rPr>
          <w:rFonts w:eastAsia="Calibri" w:cs="Calibri"/>
          <w:sz w:val="28"/>
          <w:szCs w:val="28"/>
          <w:lang w:val="nb" w:eastAsia="nb" w:bidi="nb"/>
        </w:rPr>
        <w:t>Ubebygde næringseiendommer over 2 daa skal takseres.</w:t>
      </w:r>
    </w:p>
    <w:p w:rsidR="002D4595" w:rsidRPr="00A210CF" w:rsidRDefault="002D4595" w:rsidP="002D4595">
      <w:pPr>
        <w:pStyle w:val="Brdtekst"/>
        <w:spacing w:before="52" w:line="278" w:lineRule="auto"/>
        <w:ind w:right="698"/>
        <w:rPr>
          <w:rFonts w:asciiTheme="minorHAnsi" w:hAnsiTheme="minorHAnsi"/>
          <w:sz w:val="28"/>
          <w:szCs w:val="28"/>
          <w:vertAlign w:val="superscript"/>
        </w:rPr>
      </w:pPr>
      <w:r w:rsidRPr="00A210CF">
        <w:rPr>
          <w:rFonts w:asciiTheme="minorHAnsi" w:hAnsiTheme="minorHAnsi"/>
          <w:sz w:val="28"/>
          <w:szCs w:val="28"/>
        </w:rPr>
        <w:t>Arealopplysninger og andre faktaopplysninger om eiendommene hentes fra Matrikkelen og eventuelt ved forespørsel til eier.</w:t>
      </w:r>
    </w:p>
    <w:p w:rsidR="00556A8E" w:rsidRPr="00A210CF" w:rsidRDefault="00556A8E" w:rsidP="002D4595">
      <w:pPr>
        <w:pStyle w:val="Brdtekst"/>
        <w:spacing w:before="52" w:line="278" w:lineRule="auto"/>
        <w:ind w:right="698"/>
        <w:rPr>
          <w:rFonts w:asciiTheme="minorHAnsi" w:hAnsiTheme="minorHAnsi"/>
          <w:sz w:val="28"/>
          <w:szCs w:val="28"/>
          <w:vertAlign w:val="superscript"/>
        </w:rPr>
      </w:pPr>
    </w:p>
    <w:p w:rsidR="00556A8E" w:rsidRPr="00A210CF" w:rsidRDefault="00556A8E" w:rsidP="00556A8E">
      <w:pPr>
        <w:pStyle w:val="Overskrift1"/>
        <w:keepNext w:val="0"/>
        <w:keepLines w:val="0"/>
        <w:widowControl w:val="0"/>
        <w:tabs>
          <w:tab w:val="left" w:pos="824"/>
        </w:tabs>
        <w:autoSpaceDE w:val="0"/>
        <w:autoSpaceDN w:val="0"/>
        <w:spacing w:before="45" w:line="240" w:lineRule="auto"/>
        <w:rPr>
          <w:rFonts w:asciiTheme="minorHAnsi" w:hAnsiTheme="minorHAnsi"/>
          <w:sz w:val="28"/>
          <w:szCs w:val="28"/>
        </w:rPr>
      </w:pPr>
      <w:r w:rsidRPr="00A210CF">
        <w:rPr>
          <w:rFonts w:asciiTheme="minorHAnsi" w:hAnsiTheme="minorHAnsi"/>
          <w:color w:val="00AFEF"/>
          <w:sz w:val="28"/>
          <w:szCs w:val="28"/>
        </w:rPr>
        <w:t>Sjablong</w:t>
      </w:r>
      <w:r w:rsidRPr="00A210CF">
        <w:rPr>
          <w:rFonts w:asciiTheme="minorHAnsi" w:hAnsiTheme="minorHAnsi"/>
          <w:color w:val="00AFEF"/>
          <w:spacing w:val="-3"/>
          <w:sz w:val="28"/>
          <w:szCs w:val="28"/>
        </w:rPr>
        <w:t xml:space="preserve"> </w:t>
      </w:r>
      <w:r w:rsidRPr="00A210CF">
        <w:rPr>
          <w:rFonts w:asciiTheme="minorHAnsi" w:hAnsiTheme="minorHAnsi"/>
          <w:color w:val="00AFEF"/>
          <w:sz w:val="28"/>
          <w:szCs w:val="28"/>
        </w:rPr>
        <w:t>kvadratmeterpriser</w:t>
      </w:r>
    </w:p>
    <w:p w:rsidR="00556A8E" w:rsidRPr="00A210CF" w:rsidRDefault="00556A8E" w:rsidP="00556A8E">
      <w:pPr>
        <w:pStyle w:val="Brdtekst"/>
        <w:spacing w:before="8"/>
        <w:rPr>
          <w:rFonts w:asciiTheme="minorHAnsi" w:hAnsiTheme="minorHAnsi"/>
          <w:b/>
          <w:sz w:val="28"/>
          <w:szCs w:val="28"/>
        </w:rPr>
      </w:pPr>
    </w:p>
    <w:p w:rsidR="00556A8E" w:rsidRPr="00A210CF" w:rsidRDefault="00B400B0" w:rsidP="00556A8E">
      <w:pPr>
        <w:pStyle w:val="Overskrift2"/>
        <w:spacing w:before="1"/>
        <w:ind w:left="0"/>
        <w:rPr>
          <w:rFonts w:asciiTheme="minorHAnsi" w:hAnsiTheme="minorHAnsi"/>
          <w:sz w:val="28"/>
          <w:szCs w:val="28"/>
        </w:rPr>
      </w:pPr>
      <w:r>
        <w:rPr>
          <w:rFonts w:asciiTheme="minorHAnsi" w:hAnsiTheme="minorHAnsi"/>
          <w:sz w:val="28"/>
          <w:szCs w:val="28"/>
        </w:rPr>
        <w:t>Bolig</w:t>
      </w:r>
      <w:r w:rsidR="003D6941">
        <w:rPr>
          <w:rFonts w:asciiTheme="minorHAnsi" w:hAnsiTheme="minorHAnsi"/>
          <w:sz w:val="28"/>
          <w:szCs w:val="28"/>
        </w:rPr>
        <w:t>,</w:t>
      </w:r>
      <w:r w:rsidR="00556A8E" w:rsidRPr="00A210CF">
        <w:rPr>
          <w:rFonts w:asciiTheme="minorHAnsi" w:hAnsiTheme="minorHAnsi"/>
          <w:sz w:val="28"/>
          <w:szCs w:val="28"/>
        </w:rPr>
        <w:t xml:space="preserve"> fritidsbolig</w:t>
      </w:r>
      <w:r w:rsidR="003D6941">
        <w:rPr>
          <w:rFonts w:asciiTheme="minorHAnsi" w:hAnsiTheme="minorHAnsi"/>
          <w:sz w:val="28"/>
          <w:szCs w:val="28"/>
        </w:rPr>
        <w:t>, garasje og naust</w:t>
      </w:r>
    </w:p>
    <w:p w:rsidR="00556A8E" w:rsidRPr="00A210CF" w:rsidRDefault="00556A8E" w:rsidP="00556A8E">
      <w:pPr>
        <w:pStyle w:val="Brdtekst"/>
        <w:rPr>
          <w:rFonts w:asciiTheme="minorHAnsi" w:hAnsiTheme="minorHAnsi"/>
          <w:b/>
          <w:sz w:val="28"/>
          <w:szCs w:val="28"/>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687"/>
      </w:tblGrid>
      <w:tr w:rsidR="00556A8E" w:rsidRPr="00A210CF" w:rsidTr="00CA57DC">
        <w:trPr>
          <w:trHeight w:val="337"/>
        </w:trPr>
        <w:tc>
          <w:tcPr>
            <w:tcW w:w="4645" w:type="dxa"/>
          </w:tcPr>
          <w:p w:rsidR="00556A8E" w:rsidRPr="00A210CF" w:rsidRDefault="00556A8E" w:rsidP="00CA57DC">
            <w:pPr>
              <w:pStyle w:val="TableParagraph"/>
              <w:spacing w:line="292" w:lineRule="exact"/>
              <w:rPr>
                <w:rFonts w:asciiTheme="minorHAnsi" w:hAnsiTheme="minorHAnsi"/>
                <w:b/>
                <w:sz w:val="28"/>
                <w:szCs w:val="28"/>
              </w:rPr>
            </w:pPr>
            <w:r w:rsidRPr="00A210CF">
              <w:rPr>
                <w:rFonts w:asciiTheme="minorHAnsi" w:hAnsiTheme="minorHAnsi"/>
                <w:b/>
                <w:sz w:val="28"/>
                <w:szCs w:val="28"/>
              </w:rPr>
              <w:t>Bygningsgrupper</w:t>
            </w:r>
          </w:p>
        </w:tc>
        <w:tc>
          <w:tcPr>
            <w:tcW w:w="3687" w:type="dxa"/>
          </w:tcPr>
          <w:p w:rsidR="00556A8E" w:rsidRPr="00A210CF" w:rsidRDefault="00556A8E" w:rsidP="00CA57DC">
            <w:pPr>
              <w:pStyle w:val="TableParagraph"/>
              <w:spacing w:line="292" w:lineRule="exact"/>
              <w:rPr>
                <w:rFonts w:asciiTheme="minorHAnsi" w:hAnsiTheme="minorHAnsi"/>
                <w:b/>
                <w:sz w:val="28"/>
                <w:szCs w:val="28"/>
              </w:rPr>
            </w:pPr>
            <w:r w:rsidRPr="00A210CF">
              <w:rPr>
                <w:rFonts w:asciiTheme="minorHAnsi" w:hAnsiTheme="minorHAnsi"/>
                <w:b/>
                <w:sz w:val="28"/>
                <w:szCs w:val="28"/>
              </w:rPr>
              <w:t>Kvadratmeterpris</w:t>
            </w:r>
          </w:p>
        </w:tc>
      </w:tr>
      <w:tr w:rsidR="00556A8E" w:rsidRPr="00A210CF" w:rsidTr="00CA57DC">
        <w:trPr>
          <w:trHeight w:val="335"/>
        </w:trPr>
        <w:tc>
          <w:tcPr>
            <w:tcW w:w="4645" w:type="dxa"/>
          </w:tcPr>
          <w:p w:rsidR="00556A8E" w:rsidRPr="00A210CF" w:rsidRDefault="00556A8E" w:rsidP="00CA57DC">
            <w:pPr>
              <w:pStyle w:val="TableParagraph"/>
              <w:spacing w:line="292" w:lineRule="exact"/>
              <w:rPr>
                <w:rFonts w:asciiTheme="minorHAnsi" w:hAnsiTheme="minorHAnsi"/>
                <w:sz w:val="28"/>
                <w:szCs w:val="28"/>
              </w:rPr>
            </w:pPr>
            <w:r w:rsidRPr="00A210CF">
              <w:rPr>
                <w:rFonts w:asciiTheme="minorHAnsi" w:hAnsiTheme="minorHAnsi"/>
                <w:sz w:val="28"/>
                <w:szCs w:val="28"/>
              </w:rPr>
              <w:t>(111-113)</w:t>
            </w:r>
            <w:r w:rsidR="004E2020">
              <w:rPr>
                <w:rFonts w:asciiTheme="minorHAnsi" w:hAnsiTheme="minorHAnsi"/>
                <w:sz w:val="28"/>
                <w:szCs w:val="28"/>
              </w:rPr>
              <w:t xml:space="preserve"> Enebolig</w:t>
            </w:r>
            <w:r w:rsidR="00194A11">
              <w:rPr>
                <w:rFonts w:asciiTheme="minorHAnsi" w:hAnsiTheme="minorHAnsi"/>
                <w:sz w:val="28"/>
                <w:szCs w:val="28"/>
              </w:rPr>
              <w:t>, våningshus</w:t>
            </w:r>
          </w:p>
        </w:tc>
        <w:tc>
          <w:tcPr>
            <w:tcW w:w="3687" w:type="dxa"/>
          </w:tcPr>
          <w:p w:rsidR="00556A8E" w:rsidRPr="00A210CF" w:rsidRDefault="00D82CB7" w:rsidP="00CA57DC">
            <w:pPr>
              <w:pStyle w:val="TableParagraph"/>
              <w:spacing w:line="240" w:lineRule="auto"/>
              <w:ind w:left="0"/>
              <w:rPr>
                <w:rFonts w:asciiTheme="minorHAnsi" w:hAnsiTheme="minorHAnsi"/>
                <w:sz w:val="28"/>
                <w:szCs w:val="28"/>
              </w:rPr>
            </w:pPr>
            <w:r>
              <w:rPr>
                <w:rFonts w:asciiTheme="minorHAnsi" w:hAnsiTheme="minorHAnsi"/>
                <w:sz w:val="28"/>
                <w:szCs w:val="28"/>
              </w:rPr>
              <w:t>15.</w:t>
            </w:r>
            <w:r w:rsidR="00C82429">
              <w:rPr>
                <w:rFonts w:asciiTheme="minorHAnsi" w:hAnsiTheme="minorHAnsi"/>
                <w:sz w:val="28"/>
                <w:szCs w:val="28"/>
              </w:rPr>
              <w:t>000</w:t>
            </w:r>
          </w:p>
        </w:tc>
      </w:tr>
      <w:tr w:rsidR="00556A8E" w:rsidRPr="00A210CF" w:rsidTr="00CA57DC">
        <w:trPr>
          <w:trHeight w:val="338"/>
        </w:trPr>
        <w:tc>
          <w:tcPr>
            <w:tcW w:w="4645" w:type="dxa"/>
          </w:tcPr>
          <w:p w:rsidR="00556A8E" w:rsidRPr="00A210CF" w:rsidRDefault="00C82429" w:rsidP="00C82429">
            <w:pPr>
              <w:pStyle w:val="TableParagraph"/>
              <w:spacing w:line="292" w:lineRule="exact"/>
              <w:rPr>
                <w:rFonts w:asciiTheme="minorHAnsi" w:hAnsiTheme="minorHAnsi"/>
                <w:sz w:val="28"/>
                <w:szCs w:val="28"/>
              </w:rPr>
            </w:pPr>
            <w:r>
              <w:rPr>
                <w:rFonts w:asciiTheme="minorHAnsi" w:hAnsiTheme="minorHAnsi"/>
                <w:sz w:val="28"/>
                <w:szCs w:val="28"/>
              </w:rPr>
              <w:t xml:space="preserve">(121-124) </w:t>
            </w:r>
            <w:r w:rsidR="00556A8E" w:rsidRPr="00A210CF">
              <w:rPr>
                <w:rFonts w:asciiTheme="minorHAnsi" w:hAnsiTheme="minorHAnsi"/>
                <w:sz w:val="28"/>
                <w:szCs w:val="28"/>
              </w:rPr>
              <w:t>Tomannsbolig, flermannsbolig</w:t>
            </w:r>
          </w:p>
        </w:tc>
        <w:tc>
          <w:tcPr>
            <w:tcW w:w="3687" w:type="dxa"/>
          </w:tcPr>
          <w:p w:rsidR="00556A8E" w:rsidRPr="00A210CF" w:rsidRDefault="00D82CB7" w:rsidP="00CA57DC">
            <w:pPr>
              <w:pStyle w:val="TableParagraph"/>
              <w:spacing w:line="240" w:lineRule="auto"/>
              <w:ind w:left="0"/>
              <w:rPr>
                <w:rFonts w:asciiTheme="minorHAnsi" w:hAnsiTheme="minorHAnsi"/>
                <w:sz w:val="28"/>
                <w:szCs w:val="28"/>
              </w:rPr>
            </w:pPr>
            <w:r>
              <w:rPr>
                <w:rFonts w:asciiTheme="minorHAnsi" w:hAnsiTheme="minorHAnsi"/>
                <w:sz w:val="28"/>
                <w:szCs w:val="28"/>
              </w:rPr>
              <w:t>16.0</w:t>
            </w:r>
            <w:r w:rsidR="00C82429">
              <w:rPr>
                <w:rFonts w:asciiTheme="minorHAnsi" w:hAnsiTheme="minorHAnsi"/>
                <w:sz w:val="28"/>
                <w:szCs w:val="28"/>
              </w:rPr>
              <w:t>00</w:t>
            </w:r>
          </w:p>
        </w:tc>
      </w:tr>
      <w:tr w:rsidR="00556A8E" w:rsidRPr="00A210CF" w:rsidTr="00CA57DC">
        <w:trPr>
          <w:trHeight w:val="335"/>
        </w:trPr>
        <w:tc>
          <w:tcPr>
            <w:tcW w:w="4645" w:type="dxa"/>
          </w:tcPr>
          <w:p w:rsidR="00556A8E" w:rsidRPr="00A210CF" w:rsidRDefault="00C82429" w:rsidP="00CA57DC">
            <w:pPr>
              <w:pStyle w:val="TableParagraph"/>
              <w:spacing w:line="292" w:lineRule="exact"/>
              <w:rPr>
                <w:rFonts w:asciiTheme="minorHAnsi" w:hAnsiTheme="minorHAnsi"/>
                <w:sz w:val="28"/>
                <w:szCs w:val="28"/>
              </w:rPr>
            </w:pPr>
            <w:r>
              <w:rPr>
                <w:rFonts w:asciiTheme="minorHAnsi" w:hAnsiTheme="minorHAnsi"/>
                <w:sz w:val="28"/>
                <w:szCs w:val="28"/>
              </w:rPr>
              <w:t xml:space="preserve">(131-136) </w:t>
            </w:r>
            <w:r w:rsidR="00556A8E" w:rsidRPr="00A210CF">
              <w:rPr>
                <w:rFonts w:asciiTheme="minorHAnsi" w:hAnsiTheme="minorHAnsi"/>
                <w:sz w:val="28"/>
                <w:szCs w:val="28"/>
              </w:rPr>
              <w:t>Rekkehus,</w:t>
            </w:r>
            <w:r>
              <w:rPr>
                <w:rFonts w:asciiTheme="minorHAnsi" w:hAnsiTheme="minorHAnsi"/>
                <w:sz w:val="28"/>
                <w:szCs w:val="28"/>
              </w:rPr>
              <w:t xml:space="preserve"> kjedehus, terrassehus</w:t>
            </w:r>
          </w:p>
        </w:tc>
        <w:tc>
          <w:tcPr>
            <w:tcW w:w="3687" w:type="dxa"/>
          </w:tcPr>
          <w:p w:rsidR="00556A8E" w:rsidRPr="00A210CF" w:rsidRDefault="00D82CB7" w:rsidP="00CA57DC">
            <w:pPr>
              <w:pStyle w:val="TableParagraph"/>
              <w:spacing w:line="240" w:lineRule="auto"/>
              <w:ind w:left="0"/>
              <w:rPr>
                <w:rFonts w:asciiTheme="minorHAnsi" w:hAnsiTheme="minorHAnsi"/>
                <w:sz w:val="28"/>
                <w:szCs w:val="28"/>
              </w:rPr>
            </w:pPr>
            <w:r>
              <w:rPr>
                <w:rFonts w:asciiTheme="minorHAnsi" w:hAnsiTheme="minorHAnsi"/>
                <w:sz w:val="28"/>
                <w:szCs w:val="28"/>
              </w:rPr>
              <w:t>1</w:t>
            </w:r>
            <w:r w:rsidR="005A447B">
              <w:rPr>
                <w:rFonts w:asciiTheme="minorHAnsi" w:hAnsiTheme="minorHAnsi"/>
                <w:sz w:val="28"/>
                <w:szCs w:val="28"/>
              </w:rPr>
              <w:t>6</w:t>
            </w:r>
            <w:r>
              <w:rPr>
                <w:rFonts w:asciiTheme="minorHAnsi" w:hAnsiTheme="minorHAnsi"/>
                <w:sz w:val="28"/>
                <w:szCs w:val="28"/>
              </w:rPr>
              <w:t>.</w:t>
            </w:r>
            <w:r w:rsidR="005A447B">
              <w:rPr>
                <w:rFonts w:asciiTheme="minorHAnsi" w:hAnsiTheme="minorHAnsi"/>
                <w:sz w:val="28"/>
                <w:szCs w:val="28"/>
              </w:rPr>
              <w:t>000</w:t>
            </w:r>
          </w:p>
        </w:tc>
      </w:tr>
      <w:tr w:rsidR="00556A8E" w:rsidRPr="00A210CF" w:rsidTr="00CA57DC">
        <w:trPr>
          <w:trHeight w:val="337"/>
        </w:trPr>
        <w:tc>
          <w:tcPr>
            <w:tcW w:w="4645" w:type="dxa"/>
          </w:tcPr>
          <w:p w:rsidR="00556A8E" w:rsidRPr="00A210CF" w:rsidRDefault="00C82429" w:rsidP="00C82429">
            <w:pPr>
              <w:pStyle w:val="TableParagraph"/>
              <w:spacing w:before="1" w:line="240" w:lineRule="auto"/>
              <w:rPr>
                <w:rFonts w:asciiTheme="minorHAnsi" w:hAnsiTheme="minorHAnsi"/>
                <w:sz w:val="28"/>
                <w:szCs w:val="28"/>
              </w:rPr>
            </w:pPr>
            <w:r>
              <w:rPr>
                <w:rFonts w:asciiTheme="minorHAnsi" w:hAnsiTheme="minorHAnsi"/>
                <w:sz w:val="28"/>
                <w:szCs w:val="28"/>
              </w:rPr>
              <w:t xml:space="preserve">(141-146) </w:t>
            </w:r>
            <w:r w:rsidR="002962CE">
              <w:rPr>
                <w:rFonts w:asciiTheme="minorHAnsi" w:hAnsiTheme="minorHAnsi"/>
                <w:sz w:val="28"/>
                <w:szCs w:val="28"/>
              </w:rPr>
              <w:t>Store boligbygg</w:t>
            </w:r>
          </w:p>
        </w:tc>
        <w:tc>
          <w:tcPr>
            <w:tcW w:w="3687" w:type="dxa"/>
          </w:tcPr>
          <w:p w:rsidR="002962CE" w:rsidRPr="00A210CF" w:rsidRDefault="00D82CB7" w:rsidP="00CA57DC">
            <w:pPr>
              <w:pStyle w:val="TableParagraph"/>
              <w:spacing w:line="240" w:lineRule="auto"/>
              <w:ind w:left="0"/>
              <w:rPr>
                <w:rFonts w:asciiTheme="minorHAnsi" w:hAnsiTheme="minorHAnsi"/>
                <w:sz w:val="28"/>
                <w:szCs w:val="28"/>
              </w:rPr>
            </w:pPr>
            <w:r>
              <w:rPr>
                <w:rFonts w:asciiTheme="minorHAnsi" w:hAnsiTheme="minorHAnsi"/>
                <w:sz w:val="28"/>
                <w:szCs w:val="28"/>
              </w:rPr>
              <w:t>18.0</w:t>
            </w:r>
            <w:r w:rsidR="005A447B">
              <w:rPr>
                <w:rFonts w:asciiTheme="minorHAnsi" w:hAnsiTheme="minorHAnsi"/>
                <w:sz w:val="28"/>
                <w:szCs w:val="28"/>
              </w:rPr>
              <w:t>00</w:t>
            </w:r>
          </w:p>
        </w:tc>
      </w:tr>
      <w:tr w:rsidR="00556A8E" w:rsidRPr="00A210CF" w:rsidTr="00CA57DC">
        <w:trPr>
          <w:trHeight w:val="335"/>
        </w:trPr>
        <w:tc>
          <w:tcPr>
            <w:tcW w:w="4645" w:type="dxa"/>
          </w:tcPr>
          <w:p w:rsidR="00556A8E" w:rsidRPr="00A210CF" w:rsidRDefault="00C82429" w:rsidP="00C82429">
            <w:pPr>
              <w:pStyle w:val="TableParagraph"/>
              <w:spacing w:line="292" w:lineRule="exact"/>
              <w:rPr>
                <w:rFonts w:asciiTheme="minorHAnsi" w:hAnsiTheme="minorHAnsi"/>
                <w:sz w:val="28"/>
                <w:szCs w:val="28"/>
              </w:rPr>
            </w:pPr>
            <w:r>
              <w:rPr>
                <w:rFonts w:asciiTheme="minorHAnsi" w:hAnsiTheme="minorHAnsi"/>
                <w:sz w:val="28"/>
                <w:szCs w:val="28"/>
              </w:rPr>
              <w:t xml:space="preserve">(161-163) </w:t>
            </w:r>
            <w:r w:rsidR="00556A8E" w:rsidRPr="00A210CF">
              <w:rPr>
                <w:rFonts w:asciiTheme="minorHAnsi" w:hAnsiTheme="minorHAnsi"/>
                <w:sz w:val="28"/>
                <w:szCs w:val="28"/>
              </w:rPr>
              <w:t>Fritidsbolig</w:t>
            </w:r>
          </w:p>
        </w:tc>
        <w:tc>
          <w:tcPr>
            <w:tcW w:w="3687" w:type="dxa"/>
          </w:tcPr>
          <w:p w:rsidR="00556A8E" w:rsidRPr="00A210CF" w:rsidRDefault="00D82CB7" w:rsidP="00CA57DC">
            <w:pPr>
              <w:pStyle w:val="TableParagraph"/>
              <w:spacing w:line="240" w:lineRule="auto"/>
              <w:ind w:left="0"/>
              <w:rPr>
                <w:rFonts w:asciiTheme="minorHAnsi" w:hAnsiTheme="minorHAnsi"/>
                <w:sz w:val="28"/>
                <w:szCs w:val="28"/>
              </w:rPr>
            </w:pPr>
            <w:r>
              <w:rPr>
                <w:rFonts w:asciiTheme="minorHAnsi" w:hAnsiTheme="minorHAnsi"/>
                <w:sz w:val="28"/>
                <w:szCs w:val="28"/>
              </w:rPr>
              <w:t>20.</w:t>
            </w:r>
            <w:r w:rsidR="00C82429">
              <w:rPr>
                <w:rFonts w:asciiTheme="minorHAnsi" w:hAnsiTheme="minorHAnsi"/>
                <w:sz w:val="28"/>
                <w:szCs w:val="28"/>
              </w:rPr>
              <w:t>000</w:t>
            </w:r>
          </w:p>
        </w:tc>
      </w:tr>
      <w:tr w:rsidR="00556A8E" w:rsidRPr="00A210CF" w:rsidTr="00CA57DC">
        <w:trPr>
          <w:trHeight w:val="338"/>
        </w:trPr>
        <w:tc>
          <w:tcPr>
            <w:tcW w:w="4645" w:type="dxa"/>
          </w:tcPr>
          <w:p w:rsidR="00556A8E" w:rsidRPr="00A210CF" w:rsidRDefault="00C82429" w:rsidP="00C82429">
            <w:pPr>
              <w:pStyle w:val="TableParagraph"/>
              <w:spacing w:before="1" w:line="240" w:lineRule="auto"/>
              <w:rPr>
                <w:rFonts w:asciiTheme="minorHAnsi" w:hAnsiTheme="minorHAnsi"/>
                <w:sz w:val="28"/>
                <w:szCs w:val="28"/>
              </w:rPr>
            </w:pPr>
            <w:r>
              <w:rPr>
                <w:rFonts w:asciiTheme="minorHAnsi" w:hAnsiTheme="minorHAnsi"/>
                <w:sz w:val="28"/>
                <w:szCs w:val="28"/>
              </w:rPr>
              <w:t xml:space="preserve">(181-182) </w:t>
            </w:r>
            <w:r w:rsidR="00556A8E" w:rsidRPr="00A210CF">
              <w:rPr>
                <w:rFonts w:asciiTheme="minorHAnsi" w:hAnsiTheme="minorHAnsi"/>
                <w:sz w:val="28"/>
                <w:szCs w:val="28"/>
              </w:rPr>
              <w:t>Garasje, anneks, uthus</w:t>
            </w:r>
          </w:p>
        </w:tc>
        <w:tc>
          <w:tcPr>
            <w:tcW w:w="3687" w:type="dxa"/>
          </w:tcPr>
          <w:p w:rsidR="00556A8E" w:rsidRPr="00A210CF" w:rsidRDefault="00C82429" w:rsidP="00CA57DC">
            <w:pPr>
              <w:pStyle w:val="TableParagraph"/>
              <w:spacing w:line="240" w:lineRule="auto"/>
              <w:ind w:left="0"/>
              <w:rPr>
                <w:rFonts w:asciiTheme="minorHAnsi" w:hAnsiTheme="minorHAnsi"/>
                <w:sz w:val="28"/>
                <w:szCs w:val="28"/>
              </w:rPr>
            </w:pPr>
            <w:r>
              <w:rPr>
                <w:rFonts w:asciiTheme="minorHAnsi" w:hAnsiTheme="minorHAnsi"/>
                <w:sz w:val="28"/>
                <w:szCs w:val="28"/>
              </w:rPr>
              <w:t>2</w:t>
            </w:r>
            <w:r w:rsidR="00D82CB7">
              <w:rPr>
                <w:rFonts w:asciiTheme="minorHAnsi" w:hAnsiTheme="minorHAnsi"/>
                <w:sz w:val="28"/>
                <w:szCs w:val="28"/>
              </w:rPr>
              <w:t>.</w:t>
            </w:r>
            <w:r>
              <w:rPr>
                <w:rFonts w:asciiTheme="minorHAnsi" w:hAnsiTheme="minorHAnsi"/>
                <w:sz w:val="28"/>
                <w:szCs w:val="28"/>
              </w:rPr>
              <w:t>000</w:t>
            </w:r>
          </w:p>
        </w:tc>
      </w:tr>
      <w:tr w:rsidR="00556A8E" w:rsidRPr="00A210CF" w:rsidTr="00CA57DC">
        <w:trPr>
          <w:trHeight w:val="338"/>
        </w:trPr>
        <w:tc>
          <w:tcPr>
            <w:tcW w:w="4645" w:type="dxa"/>
          </w:tcPr>
          <w:p w:rsidR="00556A8E" w:rsidRPr="00A210CF" w:rsidRDefault="00C82429" w:rsidP="00C82429">
            <w:pPr>
              <w:pStyle w:val="TableParagraph"/>
              <w:spacing w:line="292" w:lineRule="exact"/>
              <w:rPr>
                <w:rFonts w:asciiTheme="minorHAnsi" w:hAnsiTheme="minorHAnsi"/>
                <w:sz w:val="28"/>
                <w:szCs w:val="28"/>
              </w:rPr>
            </w:pPr>
            <w:r>
              <w:rPr>
                <w:rFonts w:asciiTheme="minorHAnsi" w:hAnsiTheme="minorHAnsi"/>
                <w:sz w:val="28"/>
                <w:szCs w:val="28"/>
              </w:rPr>
              <w:t xml:space="preserve">(183) </w:t>
            </w:r>
            <w:r w:rsidR="00556A8E" w:rsidRPr="00A210CF">
              <w:rPr>
                <w:rFonts w:asciiTheme="minorHAnsi" w:hAnsiTheme="minorHAnsi"/>
                <w:sz w:val="28"/>
                <w:szCs w:val="28"/>
              </w:rPr>
              <w:t>Naust, båthus, sjøbu</w:t>
            </w:r>
          </w:p>
        </w:tc>
        <w:tc>
          <w:tcPr>
            <w:tcW w:w="3687" w:type="dxa"/>
          </w:tcPr>
          <w:p w:rsidR="00556A8E" w:rsidRPr="00A210CF" w:rsidRDefault="00C82429" w:rsidP="00CA57DC">
            <w:pPr>
              <w:pStyle w:val="TableParagraph"/>
              <w:spacing w:line="240" w:lineRule="auto"/>
              <w:ind w:left="0"/>
              <w:rPr>
                <w:rFonts w:asciiTheme="minorHAnsi" w:hAnsiTheme="minorHAnsi"/>
                <w:sz w:val="28"/>
                <w:szCs w:val="28"/>
              </w:rPr>
            </w:pPr>
            <w:r>
              <w:rPr>
                <w:rFonts w:asciiTheme="minorHAnsi" w:hAnsiTheme="minorHAnsi"/>
                <w:sz w:val="28"/>
                <w:szCs w:val="28"/>
              </w:rPr>
              <w:t>2</w:t>
            </w:r>
            <w:r w:rsidR="00D82CB7">
              <w:rPr>
                <w:rFonts w:asciiTheme="minorHAnsi" w:hAnsiTheme="minorHAnsi"/>
                <w:sz w:val="28"/>
                <w:szCs w:val="28"/>
              </w:rPr>
              <w:t>.</w:t>
            </w:r>
            <w:r>
              <w:rPr>
                <w:rFonts w:asciiTheme="minorHAnsi" w:hAnsiTheme="minorHAnsi"/>
                <w:sz w:val="28"/>
                <w:szCs w:val="28"/>
              </w:rPr>
              <w:t>000</w:t>
            </w:r>
          </w:p>
        </w:tc>
      </w:tr>
    </w:tbl>
    <w:p w:rsidR="002962CE" w:rsidRDefault="00556A8E" w:rsidP="00556A8E">
      <w:pPr>
        <w:pStyle w:val="Brdtekst"/>
        <w:rPr>
          <w:rFonts w:asciiTheme="minorHAnsi" w:hAnsiTheme="minorHAnsi"/>
          <w:sz w:val="28"/>
          <w:szCs w:val="28"/>
        </w:rPr>
      </w:pPr>
      <w:r w:rsidRPr="00A210CF">
        <w:rPr>
          <w:rFonts w:asciiTheme="minorHAnsi" w:hAnsiTheme="minorHAnsi"/>
          <w:sz w:val="28"/>
          <w:szCs w:val="28"/>
        </w:rPr>
        <w:t>Garasje, anneks og uthus under 15 kvadratmeter takseres ikke.</w:t>
      </w:r>
      <w:r w:rsidR="00AF0F6A">
        <w:rPr>
          <w:rFonts w:asciiTheme="minorHAnsi" w:hAnsiTheme="minorHAnsi"/>
          <w:sz w:val="28"/>
          <w:szCs w:val="28"/>
        </w:rPr>
        <w:t xml:space="preserve"> </w:t>
      </w:r>
      <w:r w:rsidR="00AF0F6A" w:rsidRPr="00AF0F6A">
        <w:rPr>
          <w:rFonts w:asciiTheme="minorHAnsi" w:hAnsiTheme="minorHAnsi"/>
          <w:sz w:val="28"/>
          <w:szCs w:val="28"/>
        </w:rPr>
        <w:t>I tillegg presiseres at kun arealer med takhøyde over 1.90 m skal telle.</w:t>
      </w:r>
    </w:p>
    <w:p w:rsidR="00FC3A66" w:rsidRDefault="00FC3A66" w:rsidP="00556A8E">
      <w:pPr>
        <w:pStyle w:val="Brdtekst"/>
        <w:rPr>
          <w:rFonts w:asciiTheme="minorHAnsi" w:hAnsiTheme="minorHAnsi"/>
          <w:sz w:val="28"/>
          <w:szCs w:val="28"/>
        </w:rPr>
      </w:pPr>
    </w:p>
    <w:p w:rsidR="00FC3A66" w:rsidRPr="00FC3A66" w:rsidRDefault="00FC3A66" w:rsidP="00FC3A66">
      <w:pPr>
        <w:autoSpaceDE w:val="0"/>
        <w:autoSpaceDN w:val="0"/>
        <w:rPr>
          <w:rFonts w:eastAsia="Calibri" w:cs="Calibri"/>
          <w:sz w:val="28"/>
          <w:szCs w:val="28"/>
          <w:lang w:val="nb" w:eastAsia="nb" w:bidi="nb"/>
        </w:rPr>
      </w:pPr>
      <w:r w:rsidRPr="00FC3A66">
        <w:rPr>
          <w:rFonts w:eastAsia="Calibri" w:cs="Calibri"/>
          <w:sz w:val="28"/>
          <w:szCs w:val="28"/>
          <w:lang w:val="nb" w:eastAsia="nb" w:bidi="nb"/>
        </w:rPr>
        <w:t>Boligdelen på landbrukseiendommer med konsesjonsplikt settes lavere enn ordinære</w:t>
      </w:r>
      <w:r>
        <w:rPr>
          <w:rFonts w:eastAsia="Calibri" w:cs="Calibri"/>
          <w:sz w:val="28"/>
          <w:szCs w:val="28"/>
          <w:lang w:val="nb" w:eastAsia="nb" w:bidi="nb"/>
        </w:rPr>
        <w:t xml:space="preserve"> </w:t>
      </w:r>
      <w:r w:rsidRPr="00FC3A66">
        <w:rPr>
          <w:rFonts w:eastAsia="Calibri" w:cs="Calibri"/>
          <w:sz w:val="28"/>
          <w:szCs w:val="28"/>
          <w:lang w:val="nb" w:eastAsia="nb" w:bidi="nb"/>
        </w:rPr>
        <w:t>boliger pga konsesjonsplikten</w:t>
      </w:r>
      <w:r>
        <w:rPr>
          <w:rFonts w:eastAsia="Calibri" w:cs="Calibri"/>
          <w:sz w:val="28"/>
          <w:szCs w:val="28"/>
          <w:lang w:val="nb" w:eastAsia="nb" w:bidi="nb"/>
        </w:rPr>
        <w:t>.</w:t>
      </w:r>
    </w:p>
    <w:p w:rsidR="00FC3A66" w:rsidRPr="00FC3A66" w:rsidRDefault="00FC3A66" w:rsidP="00FC3A66">
      <w:pPr>
        <w:autoSpaceDE w:val="0"/>
        <w:autoSpaceDN w:val="0"/>
        <w:rPr>
          <w:rFonts w:eastAsia="Calibri" w:cs="Calibri"/>
          <w:sz w:val="28"/>
          <w:szCs w:val="28"/>
          <w:lang w:val="nb" w:eastAsia="nb" w:bidi="nb"/>
        </w:rPr>
      </w:pPr>
      <w:r w:rsidRPr="00FC3A66">
        <w:rPr>
          <w:rFonts w:eastAsia="Calibri" w:cs="Calibri"/>
          <w:sz w:val="28"/>
          <w:szCs w:val="28"/>
          <w:lang w:val="nb" w:eastAsia="nb" w:bidi="nb"/>
        </w:rPr>
        <w:t>Taksten på boligdelen av landbrukseiendommer med tilhørende tomt, reduseres gjennom bruk av ytre faktor med en reduksjon på 0,3 slik at rammene fra departementet for taksering av boligdelen for konsesjonsbelagte eiendommer blir fulgt.</w:t>
      </w:r>
    </w:p>
    <w:p w:rsidR="00FC3A66" w:rsidRPr="00FC3A66" w:rsidRDefault="00FC3A66" w:rsidP="00FC3A66">
      <w:pPr>
        <w:autoSpaceDE w:val="0"/>
        <w:autoSpaceDN w:val="0"/>
        <w:rPr>
          <w:rFonts w:eastAsia="Calibri" w:cs="Calibri"/>
          <w:sz w:val="28"/>
          <w:szCs w:val="28"/>
          <w:lang w:val="nb" w:eastAsia="nb" w:bidi="nb"/>
        </w:rPr>
      </w:pPr>
      <w:r w:rsidRPr="00FC3A66">
        <w:rPr>
          <w:rFonts w:eastAsia="Calibri" w:cs="Calibri"/>
          <w:sz w:val="28"/>
          <w:szCs w:val="28"/>
          <w:lang w:val="nb" w:eastAsia="nb" w:bidi="nb"/>
        </w:rPr>
        <w:t>Landbrukseiendommer hvor våningshuset benyttes som fritidsbolig, innrømmes ikke</w:t>
      </w:r>
      <w:r>
        <w:rPr>
          <w:rFonts w:eastAsia="Calibri" w:cs="Calibri"/>
          <w:sz w:val="28"/>
          <w:szCs w:val="28"/>
          <w:lang w:val="nb" w:eastAsia="nb" w:bidi="nb"/>
        </w:rPr>
        <w:t xml:space="preserve"> </w:t>
      </w:r>
      <w:bookmarkStart w:id="0" w:name="_GoBack"/>
      <w:bookmarkEnd w:id="0"/>
      <w:r w:rsidRPr="00FC3A66">
        <w:rPr>
          <w:rFonts w:eastAsia="Calibri" w:cs="Calibri"/>
          <w:sz w:val="28"/>
          <w:szCs w:val="28"/>
          <w:lang w:val="nb" w:eastAsia="nb" w:bidi="nb"/>
        </w:rPr>
        <w:t>reduksjon med 0,3 i ytre faktor, tilsvarende landbrukseiendommer som drives i henhold til konsesjonsloven.</w:t>
      </w:r>
    </w:p>
    <w:p w:rsidR="00FC3A66" w:rsidRDefault="00FC3A66" w:rsidP="00556A8E">
      <w:pPr>
        <w:pStyle w:val="Brdtekst"/>
        <w:rPr>
          <w:rFonts w:asciiTheme="minorHAnsi" w:hAnsiTheme="minorHAnsi"/>
          <w:sz w:val="28"/>
          <w:szCs w:val="28"/>
        </w:rPr>
      </w:pPr>
    </w:p>
    <w:p w:rsidR="002962CE" w:rsidRDefault="002962CE" w:rsidP="00556A8E">
      <w:pPr>
        <w:pStyle w:val="Brdtekst"/>
        <w:rPr>
          <w:rFonts w:asciiTheme="minorHAnsi" w:hAnsiTheme="minorHAnsi"/>
          <w:b/>
          <w:sz w:val="28"/>
          <w:szCs w:val="28"/>
        </w:rPr>
      </w:pPr>
      <w:r>
        <w:rPr>
          <w:rFonts w:asciiTheme="minorHAnsi" w:hAnsiTheme="minorHAnsi"/>
          <w:b/>
          <w:sz w:val="28"/>
          <w:szCs w:val="28"/>
        </w:rPr>
        <w:lastRenderedPageBreak/>
        <w:t>Industri</w:t>
      </w:r>
      <w:r w:rsidR="001F29F2">
        <w:rPr>
          <w:rFonts w:asciiTheme="minorHAnsi" w:hAnsiTheme="minorHAnsi"/>
          <w:b/>
          <w:sz w:val="28"/>
          <w:szCs w:val="28"/>
        </w:rPr>
        <w:t>,</w:t>
      </w:r>
      <w:r>
        <w:rPr>
          <w:rFonts w:asciiTheme="minorHAnsi" w:hAnsiTheme="minorHAnsi"/>
          <w:b/>
          <w:sz w:val="28"/>
          <w:szCs w:val="28"/>
        </w:rPr>
        <w:t xml:space="preserve"> lager</w:t>
      </w:r>
      <w:r w:rsidR="001F29F2">
        <w:rPr>
          <w:rFonts w:asciiTheme="minorHAnsi" w:hAnsiTheme="minorHAnsi"/>
          <w:b/>
          <w:sz w:val="28"/>
          <w:szCs w:val="28"/>
        </w:rPr>
        <w:t>, kontor og forretningsbygg</w:t>
      </w:r>
    </w:p>
    <w:p w:rsidR="002962CE" w:rsidRDefault="002962CE" w:rsidP="00556A8E">
      <w:pPr>
        <w:pStyle w:val="Brdtekst"/>
        <w:rPr>
          <w:rFonts w:asciiTheme="minorHAnsi" w:hAnsiTheme="minorHAnsi"/>
          <w:sz w:val="28"/>
          <w:szCs w:val="28"/>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687"/>
      </w:tblGrid>
      <w:tr w:rsidR="00F609A8" w:rsidRPr="00A210CF" w:rsidTr="00F609A8">
        <w:trPr>
          <w:trHeight w:val="337"/>
        </w:trPr>
        <w:tc>
          <w:tcPr>
            <w:tcW w:w="4645" w:type="dxa"/>
          </w:tcPr>
          <w:p w:rsidR="00F609A8" w:rsidRPr="00F609A8" w:rsidRDefault="00F609A8" w:rsidP="00F609A8">
            <w:pPr>
              <w:pStyle w:val="TableParagraph"/>
              <w:spacing w:line="292" w:lineRule="exact"/>
              <w:rPr>
                <w:rFonts w:asciiTheme="minorHAnsi" w:hAnsiTheme="minorHAnsi"/>
                <w:sz w:val="28"/>
                <w:szCs w:val="28"/>
              </w:rPr>
            </w:pPr>
            <w:r w:rsidRPr="00F609A8">
              <w:rPr>
                <w:rFonts w:asciiTheme="minorHAnsi" w:hAnsiTheme="minorHAnsi"/>
                <w:sz w:val="28"/>
                <w:szCs w:val="28"/>
              </w:rPr>
              <w:t>Bygningsgrupper</w:t>
            </w:r>
          </w:p>
        </w:tc>
        <w:tc>
          <w:tcPr>
            <w:tcW w:w="3687" w:type="dxa"/>
          </w:tcPr>
          <w:p w:rsidR="00F609A8" w:rsidRPr="00F609A8" w:rsidRDefault="00F609A8" w:rsidP="00F609A8">
            <w:pPr>
              <w:pStyle w:val="TableParagraph"/>
              <w:spacing w:line="292" w:lineRule="exact"/>
              <w:rPr>
                <w:rFonts w:asciiTheme="minorHAnsi" w:hAnsiTheme="minorHAnsi"/>
                <w:sz w:val="28"/>
                <w:szCs w:val="28"/>
              </w:rPr>
            </w:pPr>
            <w:r w:rsidRPr="00F609A8">
              <w:rPr>
                <w:rFonts w:asciiTheme="minorHAnsi" w:hAnsiTheme="minorHAnsi"/>
                <w:sz w:val="28"/>
                <w:szCs w:val="28"/>
              </w:rPr>
              <w:t>Kvadratmeterpris</w:t>
            </w:r>
          </w:p>
        </w:tc>
      </w:tr>
      <w:tr w:rsidR="00F609A8" w:rsidRPr="00A210CF" w:rsidTr="00F609A8">
        <w:trPr>
          <w:trHeight w:val="335"/>
        </w:trPr>
        <w:tc>
          <w:tcPr>
            <w:tcW w:w="4645" w:type="dxa"/>
          </w:tcPr>
          <w:p w:rsidR="00F609A8" w:rsidRPr="00A210CF" w:rsidRDefault="00F609A8" w:rsidP="00F609A8">
            <w:pPr>
              <w:pStyle w:val="TableParagraph"/>
              <w:spacing w:line="292" w:lineRule="exact"/>
              <w:rPr>
                <w:rFonts w:asciiTheme="minorHAnsi" w:hAnsiTheme="minorHAnsi"/>
                <w:sz w:val="28"/>
                <w:szCs w:val="28"/>
              </w:rPr>
            </w:pPr>
            <w:r w:rsidRPr="00F609A8">
              <w:rPr>
                <w:rFonts w:asciiTheme="minorHAnsi" w:hAnsiTheme="minorHAnsi"/>
                <w:sz w:val="28"/>
                <w:szCs w:val="28"/>
              </w:rPr>
              <w:t>(211-219) Industribygning</w:t>
            </w:r>
          </w:p>
        </w:tc>
        <w:tc>
          <w:tcPr>
            <w:tcW w:w="3687" w:type="dxa"/>
          </w:tcPr>
          <w:p w:rsidR="00F609A8" w:rsidRPr="00A210CF" w:rsidRDefault="00F609A8" w:rsidP="00F609A8">
            <w:pPr>
              <w:pStyle w:val="TableParagraph"/>
              <w:spacing w:line="240" w:lineRule="auto"/>
              <w:ind w:left="0"/>
              <w:rPr>
                <w:rFonts w:asciiTheme="minorHAnsi" w:hAnsiTheme="minorHAnsi"/>
                <w:sz w:val="28"/>
                <w:szCs w:val="28"/>
              </w:rPr>
            </w:pPr>
            <w:r w:rsidRPr="00F609A8">
              <w:rPr>
                <w:rFonts w:asciiTheme="minorHAnsi" w:hAnsiTheme="minorHAnsi"/>
                <w:sz w:val="28"/>
                <w:szCs w:val="28"/>
              </w:rPr>
              <w:t>3.750</w:t>
            </w:r>
          </w:p>
        </w:tc>
      </w:tr>
      <w:tr w:rsidR="00F609A8" w:rsidRPr="00A210CF" w:rsidTr="00F609A8">
        <w:trPr>
          <w:trHeight w:val="335"/>
        </w:trPr>
        <w:tc>
          <w:tcPr>
            <w:tcW w:w="4645" w:type="dxa"/>
          </w:tcPr>
          <w:p w:rsidR="00F609A8" w:rsidRPr="00A210CF" w:rsidRDefault="00F609A8" w:rsidP="00F609A8">
            <w:pPr>
              <w:pStyle w:val="TableParagraph"/>
              <w:spacing w:line="292" w:lineRule="exact"/>
              <w:rPr>
                <w:rFonts w:asciiTheme="minorHAnsi" w:hAnsiTheme="minorHAnsi"/>
                <w:sz w:val="28"/>
                <w:szCs w:val="28"/>
              </w:rPr>
            </w:pPr>
            <w:r w:rsidRPr="00F609A8">
              <w:rPr>
                <w:rFonts w:asciiTheme="minorHAnsi" w:hAnsiTheme="minorHAnsi"/>
                <w:sz w:val="28"/>
                <w:szCs w:val="28"/>
              </w:rPr>
              <w:t>(231-239) Lagerbygning</w:t>
            </w:r>
          </w:p>
        </w:tc>
        <w:tc>
          <w:tcPr>
            <w:tcW w:w="3687" w:type="dxa"/>
          </w:tcPr>
          <w:p w:rsidR="00F609A8" w:rsidRPr="00A210CF" w:rsidRDefault="00F609A8" w:rsidP="00F609A8">
            <w:pPr>
              <w:pStyle w:val="TableParagraph"/>
              <w:spacing w:line="240" w:lineRule="auto"/>
              <w:ind w:left="0"/>
              <w:rPr>
                <w:rFonts w:asciiTheme="minorHAnsi" w:hAnsiTheme="minorHAnsi"/>
                <w:sz w:val="28"/>
                <w:szCs w:val="28"/>
              </w:rPr>
            </w:pPr>
            <w:r w:rsidRPr="00F609A8">
              <w:rPr>
                <w:rFonts w:asciiTheme="minorHAnsi" w:hAnsiTheme="minorHAnsi"/>
                <w:sz w:val="28"/>
                <w:szCs w:val="28"/>
              </w:rPr>
              <w:t>2.250</w:t>
            </w:r>
          </w:p>
        </w:tc>
      </w:tr>
      <w:tr w:rsidR="00F609A8" w:rsidRPr="00A210CF" w:rsidTr="00F609A8">
        <w:trPr>
          <w:trHeight w:val="337"/>
        </w:trPr>
        <w:tc>
          <w:tcPr>
            <w:tcW w:w="4645" w:type="dxa"/>
          </w:tcPr>
          <w:p w:rsidR="00F609A8" w:rsidRPr="00A210CF" w:rsidRDefault="00F609A8" w:rsidP="00F609A8">
            <w:pPr>
              <w:pStyle w:val="TableParagraph"/>
              <w:spacing w:before="1" w:line="240" w:lineRule="auto"/>
              <w:rPr>
                <w:rFonts w:asciiTheme="minorHAnsi" w:hAnsiTheme="minorHAnsi"/>
                <w:sz w:val="28"/>
                <w:szCs w:val="28"/>
              </w:rPr>
            </w:pPr>
            <w:r w:rsidRPr="00F609A8">
              <w:rPr>
                <w:rFonts w:asciiTheme="minorHAnsi" w:hAnsiTheme="minorHAnsi"/>
                <w:sz w:val="28"/>
                <w:szCs w:val="28"/>
              </w:rPr>
              <w:t>(241-249) Fiskeri- og landbruksbygning</w:t>
            </w:r>
          </w:p>
        </w:tc>
        <w:tc>
          <w:tcPr>
            <w:tcW w:w="3687" w:type="dxa"/>
          </w:tcPr>
          <w:p w:rsidR="00F609A8" w:rsidRPr="00A210CF" w:rsidRDefault="00F609A8" w:rsidP="00F609A8">
            <w:pPr>
              <w:pStyle w:val="TableParagraph"/>
              <w:spacing w:line="240" w:lineRule="auto"/>
              <w:ind w:left="0"/>
              <w:rPr>
                <w:rFonts w:asciiTheme="minorHAnsi" w:hAnsiTheme="minorHAnsi"/>
                <w:sz w:val="28"/>
                <w:szCs w:val="28"/>
              </w:rPr>
            </w:pPr>
            <w:r w:rsidRPr="00F609A8">
              <w:rPr>
                <w:rFonts w:asciiTheme="minorHAnsi" w:hAnsiTheme="minorHAnsi"/>
                <w:sz w:val="28"/>
                <w:szCs w:val="28"/>
              </w:rPr>
              <w:t>3.750</w:t>
            </w:r>
          </w:p>
        </w:tc>
      </w:tr>
      <w:tr w:rsidR="00F609A8" w:rsidRPr="00A210CF" w:rsidTr="00F609A8">
        <w:trPr>
          <w:trHeight w:val="335"/>
        </w:trPr>
        <w:tc>
          <w:tcPr>
            <w:tcW w:w="4645" w:type="dxa"/>
          </w:tcPr>
          <w:p w:rsidR="00F609A8" w:rsidRPr="00A210CF" w:rsidRDefault="00F609A8" w:rsidP="00F609A8">
            <w:pPr>
              <w:pStyle w:val="TableParagraph"/>
              <w:spacing w:line="292" w:lineRule="exact"/>
              <w:rPr>
                <w:rFonts w:asciiTheme="minorHAnsi" w:hAnsiTheme="minorHAnsi"/>
                <w:sz w:val="28"/>
                <w:szCs w:val="28"/>
              </w:rPr>
            </w:pPr>
            <w:r w:rsidRPr="00F609A8">
              <w:rPr>
                <w:rFonts w:asciiTheme="minorHAnsi" w:hAnsiTheme="minorHAnsi"/>
                <w:sz w:val="28"/>
                <w:szCs w:val="28"/>
              </w:rPr>
              <w:t>(311-319) Kontorbygning</w:t>
            </w:r>
          </w:p>
        </w:tc>
        <w:tc>
          <w:tcPr>
            <w:tcW w:w="3687" w:type="dxa"/>
          </w:tcPr>
          <w:p w:rsidR="00F609A8" w:rsidRPr="00A210CF" w:rsidRDefault="00F609A8" w:rsidP="00F609A8">
            <w:pPr>
              <w:pStyle w:val="TableParagraph"/>
              <w:spacing w:line="240" w:lineRule="auto"/>
              <w:ind w:left="0"/>
              <w:rPr>
                <w:rFonts w:asciiTheme="minorHAnsi" w:hAnsiTheme="minorHAnsi"/>
                <w:sz w:val="28"/>
                <w:szCs w:val="28"/>
              </w:rPr>
            </w:pPr>
            <w:r w:rsidRPr="00F609A8">
              <w:rPr>
                <w:rFonts w:asciiTheme="minorHAnsi" w:hAnsiTheme="minorHAnsi"/>
                <w:sz w:val="28"/>
                <w:szCs w:val="28"/>
              </w:rPr>
              <w:t>6.000</w:t>
            </w:r>
          </w:p>
        </w:tc>
      </w:tr>
      <w:tr w:rsidR="00F609A8" w:rsidRPr="00A210CF" w:rsidTr="00F609A8">
        <w:trPr>
          <w:trHeight w:val="335"/>
        </w:trPr>
        <w:tc>
          <w:tcPr>
            <w:tcW w:w="4645" w:type="dxa"/>
          </w:tcPr>
          <w:p w:rsidR="00F609A8" w:rsidRDefault="00F609A8" w:rsidP="00F609A8">
            <w:pPr>
              <w:pStyle w:val="TableParagraph"/>
              <w:spacing w:line="292" w:lineRule="exact"/>
              <w:rPr>
                <w:rFonts w:asciiTheme="minorHAnsi" w:hAnsiTheme="minorHAnsi"/>
                <w:sz w:val="28"/>
                <w:szCs w:val="28"/>
              </w:rPr>
            </w:pPr>
            <w:r w:rsidRPr="00F609A8">
              <w:rPr>
                <w:rFonts w:asciiTheme="minorHAnsi" w:hAnsiTheme="minorHAnsi"/>
                <w:sz w:val="28"/>
                <w:szCs w:val="28"/>
              </w:rPr>
              <w:t>(321-330) Forretningsbygg</w:t>
            </w:r>
          </w:p>
        </w:tc>
        <w:tc>
          <w:tcPr>
            <w:tcW w:w="3687" w:type="dxa"/>
          </w:tcPr>
          <w:p w:rsidR="00F609A8" w:rsidRDefault="00F609A8" w:rsidP="00F609A8">
            <w:pPr>
              <w:pStyle w:val="TableParagraph"/>
              <w:spacing w:line="240" w:lineRule="auto"/>
              <w:ind w:left="0"/>
              <w:rPr>
                <w:rFonts w:asciiTheme="minorHAnsi" w:hAnsiTheme="minorHAnsi"/>
                <w:sz w:val="28"/>
                <w:szCs w:val="28"/>
              </w:rPr>
            </w:pPr>
            <w:r w:rsidRPr="00F609A8">
              <w:rPr>
                <w:rFonts w:asciiTheme="minorHAnsi" w:hAnsiTheme="minorHAnsi"/>
                <w:sz w:val="28"/>
                <w:szCs w:val="28"/>
              </w:rPr>
              <w:t>6.000</w:t>
            </w:r>
          </w:p>
        </w:tc>
      </w:tr>
      <w:tr w:rsidR="00F609A8" w:rsidTr="00F60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5" w:type="dxa"/>
          </w:tcPr>
          <w:p w:rsidR="00F609A8" w:rsidRDefault="00F609A8">
            <w:pPr>
              <w:adjustRightInd w:val="0"/>
              <w:ind w:left="327"/>
              <w:rPr>
                <w:rFonts w:ascii="Calibri" w:eastAsia="Times New Roman" w:hAnsi="Calibri" w:cs="Times New Roman"/>
                <w:color w:val="000000"/>
              </w:rPr>
            </w:pPr>
          </w:p>
        </w:tc>
        <w:tc>
          <w:tcPr>
            <w:tcW w:w="3687" w:type="dxa"/>
          </w:tcPr>
          <w:p w:rsidR="00F609A8" w:rsidRDefault="00F609A8">
            <w:pPr>
              <w:adjustRightInd w:val="0"/>
              <w:ind w:left="327"/>
              <w:rPr>
                <w:rFonts w:ascii="Calibri" w:eastAsia="Times New Roman" w:hAnsi="Calibri" w:cs="Times New Roman"/>
                <w:color w:val="000000"/>
              </w:rPr>
            </w:pPr>
          </w:p>
        </w:tc>
      </w:tr>
      <w:tr w:rsidR="00F609A8" w:rsidTr="00F60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5" w:type="dxa"/>
          </w:tcPr>
          <w:p w:rsidR="00F609A8" w:rsidRDefault="00F609A8">
            <w:pPr>
              <w:adjustRightInd w:val="0"/>
              <w:ind w:left="327"/>
              <w:rPr>
                <w:rFonts w:ascii="Calibri" w:eastAsia="Times New Roman" w:hAnsi="Calibri" w:cs="Times New Roman"/>
                <w:color w:val="000000"/>
              </w:rPr>
            </w:pPr>
          </w:p>
        </w:tc>
        <w:tc>
          <w:tcPr>
            <w:tcW w:w="3687" w:type="dxa"/>
          </w:tcPr>
          <w:p w:rsidR="00F609A8" w:rsidRDefault="00F609A8">
            <w:pPr>
              <w:adjustRightInd w:val="0"/>
              <w:ind w:left="327"/>
              <w:rPr>
                <w:rFonts w:ascii="Calibri" w:eastAsia="Times New Roman" w:hAnsi="Calibri" w:cs="Times New Roman"/>
                <w:color w:val="000000"/>
              </w:rPr>
            </w:pPr>
          </w:p>
        </w:tc>
      </w:tr>
      <w:tr w:rsidR="00F609A8" w:rsidTr="00F60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5" w:type="dxa"/>
          </w:tcPr>
          <w:p w:rsidR="00F609A8" w:rsidRDefault="00F609A8">
            <w:pPr>
              <w:adjustRightInd w:val="0"/>
              <w:ind w:left="327"/>
              <w:rPr>
                <w:rFonts w:ascii="Calibri" w:eastAsia="Times New Roman" w:hAnsi="Calibri" w:cs="Times New Roman"/>
                <w:color w:val="000000"/>
              </w:rPr>
            </w:pPr>
          </w:p>
        </w:tc>
        <w:tc>
          <w:tcPr>
            <w:tcW w:w="3687" w:type="dxa"/>
          </w:tcPr>
          <w:p w:rsidR="00F609A8" w:rsidRDefault="00F609A8">
            <w:pPr>
              <w:adjustRightInd w:val="0"/>
              <w:ind w:left="327"/>
              <w:rPr>
                <w:rFonts w:ascii="Calibri" w:eastAsia="Times New Roman" w:hAnsi="Calibri" w:cs="Times New Roman"/>
                <w:color w:val="000000"/>
              </w:rPr>
            </w:pPr>
          </w:p>
        </w:tc>
      </w:tr>
      <w:tr w:rsidR="00F609A8" w:rsidTr="00F60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5" w:type="dxa"/>
          </w:tcPr>
          <w:p w:rsidR="00F609A8" w:rsidRDefault="00F609A8">
            <w:pPr>
              <w:adjustRightInd w:val="0"/>
              <w:ind w:left="327"/>
              <w:rPr>
                <w:rFonts w:ascii="Calibri" w:eastAsia="Times New Roman" w:hAnsi="Calibri" w:cs="Times New Roman"/>
                <w:color w:val="000000"/>
              </w:rPr>
            </w:pPr>
          </w:p>
        </w:tc>
        <w:tc>
          <w:tcPr>
            <w:tcW w:w="3687" w:type="dxa"/>
          </w:tcPr>
          <w:p w:rsidR="00F609A8" w:rsidRDefault="00F609A8">
            <w:pPr>
              <w:adjustRightInd w:val="0"/>
              <w:ind w:left="327"/>
              <w:rPr>
                <w:rFonts w:ascii="Calibri" w:eastAsia="Times New Roman" w:hAnsi="Calibri" w:cs="Times New Roman"/>
                <w:color w:val="000000"/>
              </w:rPr>
            </w:pPr>
          </w:p>
        </w:tc>
      </w:tr>
      <w:tr w:rsidR="00F609A8" w:rsidTr="00F60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5" w:type="dxa"/>
          </w:tcPr>
          <w:p w:rsidR="00F609A8" w:rsidRDefault="00F609A8">
            <w:pPr>
              <w:adjustRightInd w:val="0"/>
              <w:ind w:left="327"/>
              <w:rPr>
                <w:rFonts w:ascii="Calibri" w:eastAsia="Times New Roman" w:hAnsi="Calibri" w:cs="Times New Roman"/>
                <w:color w:val="000000"/>
              </w:rPr>
            </w:pPr>
          </w:p>
        </w:tc>
        <w:tc>
          <w:tcPr>
            <w:tcW w:w="3687" w:type="dxa"/>
          </w:tcPr>
          <w:p w:rsidR="00F609A8" w:rsidRDefault="00F609A8">
            <w:pPr>
              <w:adjustRightInd w:val="0"/>
              <w:ind w:left="327"/>
              <w:rPr>
                <w:rFonts w:ascii="Calibri" w:eastAsia="Times New Roman" w:hAnsi="Calibri" w:cs="Times New Roman"/>
                <w:color w:val="000000"/>
              </w:rPr>
            </w:pPr>
          </w:p>
        </w:tc>
      </w:tr>
      <w:tr w:rsidR="00F609A8" w:rsidTr="00F60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5" w:type="dxa"/>
          </w:tcPr>
          <w:p w:rsidR="00F609A8" w:rsidRDefault="00F609A8" w:rsidP="00F609A8">
            <w:pPr>
              <w:adjustRightInd w:val="0"/>
              <w:rPr>
                <w:rFonts w:ascii="Calibri" w:eastAsia="Times New Roman" w:hAnsi="Calibri" w:cs="Times New Roman"/>
                <w:color w:val="000000"/>
              </w:rPr>
            </w:pPr>
          </w:p>
        </w:tc>
        <w:tc>
          <w:tcPr>
            <w:tcW w:w="3687" w:type="dxa"/>
          </w:tcPr>
          <w:p w:rsidR="00F609A8" w:rsidRDefault="00F609A8">
            <w:pPr>
              <w:adjustRightInd w:val="0"/>
              <w:ind w:left="327"/>
              <w:rPr>
                <w:rFonts w:ascii="Calibri" w:eastAsia="Times New Roman" w:hAnsi="Calibri" w:cs="Times New Roman"/>
                <w:color w:val="000000"/>
              </w:rPr>
            </w:pPr>
          </w:p>
        </w:tc>
      </w:tr>
    </w:tbl>
    <w:p w:rsidR="00FF04C6" w:rsidRDefault="00FF04C6" w:rsidP="00556A8E">
      <w:pPr>
        <w:pStyle w:val="Brdtekst"/>
        <w:rPr>
          <w:rFonts w:asciiTheme="minorHAnsi" w:hAnsiTheme="minorHAnsi"/>
          <w:b/>
          <w:sz w:val="28"/>
          <w:szCs w:val="28"/>
        </w:rPr>
      </w:pPr>
      <w:r>
        <w:rPr>
          <w:rFonts w:asciiTheme="minorHAnsi" w:hAnsiTheme="minorHAnsi"/>
          <w:b/>
          <w:sz w:val="28"/>
          <w:szCs w:val="28"/>
        </w:rPr>
        <w:t>Hotell, overnatting, restaurant</w:t>
      </w:r>
    </w:p>
    <w:p w:rsidR="00FF04C6" w:rsidRDefault="00FF04C6" w:rsidP="00556A8E">
      <w:pPr>
        <w:pStyle w:val="Brdtekst"/>
        <w:rPr>
          <w:rFonts w:asciiTheme="minorHAnsi" w:hAnsiTheme="minorHAnsi"/>
          <w:sz w:val="28"/>
          <w:szCs w:val="28"/>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687"/>
      </w:tblGrid>
      <w:tr w:rsidR="00F609A8" w:rsidRPr="00A210CF" w:rsidTr="00CA57DC">
        <w:trPr>
          <w:trHeight w:val="337"/>
        </w:trPr>
        <w:tc>
          <w:tcPr>
            <w:tcW w:w="4645" w:type="dxa"/>
          </w:tcPr>
          <w:p w:rsidR="00F609A8" w:rsidRPr="00F609A8" w:rsidRDefault="00F609A8" w:rsidP="00F609A8">
            <w:pPr>
              <w:pStyle w:val="TableParagraph"/>
              <w:spacing w:line="292" w:lineRule="exact"/>
              <w:rPr>
                <w:rFonts w:asciiTheme="minorHAnsi" w:hAnsiTheme="minorHAnsi"/>
                <w:sz w:val="28"/>
                <w:szCs w:val="28"/>
              </w:rPr>
            </w:pPr>
            <w:r w:rsidRPr="00F609A8">
              <w:rPr>
                <w:rFonts w:asciiTheme="minorHAnsi" w:hAnsiTheme="minorHAnsi"/>
                <w:sz w:val="28"/>
                <w:szCs w:val="28"/>
              </w:rPr>
              <w:t>Bygningsgrupper</w:t>
            </w:r>
          </w:p>
        </w:tc>
        <w:tc>
          <w:tcPr>
            <w:tcW w:w="3687" w:type="dxa"/>
          </w:tcPr>
          <w:p w:rsidR="00F609A8" w:rsidRPr="00F609A8" w:rsidRDefault="00F609A8" w:rsidP="00F609A8">
            <w:pPr>
              <w:pStyle w:val="TableParagraph"/>
              <w:spacing w:line="292" w:lineRule="exact"/>
              <w:rPr>
                <w:rFonts w:asciiTheme="minorHAnsi" w:hAnsiTheme="minorHAnsi"/>
                <w:sz w:val="28"/>
                <w:szCs w:val="28"/>
              </w:rPr>
            </w:pPr>
            <w:r w:rsidRPr="00F609A8">
              <w:rPr>
                <w:rFonts w:asciiTheme="minorHAnsi" w:hAnsiTheme="minorHAnsi"/>
                <w:sz w:val="28"/>
                <w:szCs w:val="28"/>
              </w:rPr>
              <w:t>Kvadratmeterpris</w:t>
            </w:r>
          </w:p>
        </w:tc>
      </w:tr>
      <w:tr w:rsidR="00F609A8" w:rsidRPr="00A210CF" w:rsidTr="00CA57DC">
        <w:trPr>
          <w:trHeight w:val="335"/>
        </w:trPr>
        <w:tc>
          <w:tcPr>
            <w:tcW w:w="4645" w:type="dxa"/>
          </w:tcPr>
          <w:p w:rsidR="00F609A8" w:rsidRPr="00A210CF" w:rsidRDefault="00F609A8" w:rsidP="00F609A8">
            <w:pPr>
              <w:pStyle w:val="TableParagraph"/>
              <w:spacing w:line="292" w:lineRule="exact"/>
              <w:rPr>
                <w:rFonts w:asciiTheme="minorHAnsi" w:hAnsiTheme="minorHAnsi"/>
                <w:sz w:val="28"/>
                <w:szCs w:val="28"/>
              </w:rPr>
            </w:pPr>
            <w:r w:rsidRPr="00F609A8">
              <w:rPr>
                <w:rFonts w:asciiTheme="minorHAnsi" w:hAnsiTheme="minorHAnsi"/>
                <w:sz w:val="28"/>
                <w:szCs w:val="28"/>
              </w:rPr>
              <w:t>(511-529) Hotell, motell, pensjonat, camping, utleiehytte</w:t>
            </w:r>
          </w:p>
        </w:tc>
        <w:tc>
          <w:tcPr>
            <w:tcW w:w="3687" w:type="dxa"/>
          </w:tcPr>
          <w:p w:rsidR="00F609A8" w:rsidRPr="00A210CF" w:rsidRDefault="00F609A8" w:rsidP="00F609A8">
            <w:pPr>
              <w:pStyle w:val="TableParagraph"/>
              <w:spacing w:line="240" w:lineRule="auto"/>
              <w:ind w:left="0"/>
              <w:rPr>
                <w:rFonts w:asciiTheme="minorHAnsi" w:hAnsiTheme="minorHAnsi"/>
                <w:sz w:val="28"/>
                <w:szCs w:val="28"/>
              </w:rPr>
            </w:pPr>
            <w:r w:rsidRPr="00F609A8">
              <w:rPr>
                <w:rFonts w:asciiTheme="minorHAnsi" w:hAnsiTheme="minorHAnsi"/>
                <w:sz w:val="28"/>
                <w:szCs w:val="28"/>
              </w:rPr>
              <w:t>6.750</w:t>
            </w:r>
          </w:p>
        </w:tc>
      </w:tr>
      <w:tr w:rsidR="00F609A8" w:rsidRPr="00A210CF" w:rsidTr="00CA57DC">
        <w:trPr>
          <w:trHeight w:val="338"/>
        </w:trPr>
        <w:tc>
          <w:tcPr>
            <w:tcW w:w="4645" w:type="dxa"/>
          </w:tcPr>
          <w:p w:rsidR="00F609A8" w:rsidRPr="00A210CF" w:rsidRDefault="00F609A8" w:rsidP="00F609A8">
            <w:pPr>
              <w:pStyle w:val="TableParagraph"/>
              <w:spacing w:line="292" w:lineRule="exact"/>
              <w:rPr>
                <w:rFonts w:asciiTheme="minorHAnsi" w:hAnsiTheme="minorHAnsi"/>
                <w:sz w:val="28"/>
                <w:szCs w:val="28"/>
              </w:rPr>
            </w:pPr>
            <w:r w:rsidRPr="00F609A8">
              <w:rPr>
                <w:rFonts w:asciiTheme="minorHAnsi" w:hAnsiTheme="minorHAnsi"/>
                <w:sz w:val="28"/>
                <w:szCs w:val="28"/>
              </w:rPr>
              <w:t>(531-539) Kafe, kantine, gatekjøkken, kioskbygning</w:t>
            </w:r>
          </w:p>
        </w:tc>
        <w:tc>
          <w:tcPr>
            <w:tcW w:w="3687" w:type="dxa"/>
          </w:tcPr>
          <w:p w:rsidR="00F609A8" w:rsidRPr="00A210CF" w:rsidRDefault="00F609A8" w:rsidP="00F609A8">
            <w:pPr>
              <w:pStyle w:val="TableParagraph"/>
              <w:spacing w:line="240" w:lineRule="auto"/>
              <w:ind w:left="0"/>
              <w:rPr>
                <w:rFonts w:asciiTheme="minorHAnsi" w:hAnsiTheme="minorHAnsi"/>
                <w:sz w:val="28"/>
                <w:szCs w:val="28"/>
              </w:rPr>
            </w:pPr>
            <w:r w:rsidRPr="00F609A8">
              <w:rPr>
                <w:rFonts w:asciiTheme="minorHAnsi" w:hAnsiTheme="minorHAnsi"/>
                <w:sz w:val="28"/>
                <w:szCs w:val="28"/>
              </w:rPr>
              <w:t>6.750</w:t>
            </w:r>
          </w:p>
        </w:tc>
      </w:tr>
    </w:tbl>
    <w:p w:rsidR="005A447B" w:rsidRPr="00A210CF" w:rsidRDefault="005A447B" w:rsidP="00556A8E">
      <w:pPr>
        <w:pStyle w:val="Brdtekst"/>
        <w:spacing w:before="3"/>
        <w:rPr>
          <w:rFonts w:asciiTheme="minorHAnsi" w:hAnsiTheme="minorHAnsi"/>
          <w:sz w:val="28"/>
          <w:szCs w:val="28"/>
        </w:rPr>
      </w:pPr>
    </w:p>
    <w:p w:rsidR="00556A8E" w:rsidRPr="00F609A8" w:rsidRDefault="00556A8E" w:rsidP="00556A8E">
      <w:pPr>
        <w:pStyle w:val="Overskrift2"/>
        <w:ind w:left="0"/>
        <w:rPr>
          <w:rFonts w:asciiTheme="minorHAnsi" w:hAnsiTheme="minorHAnsi"/>
          <w:b w:val="0"/>
          <w:bCs w:val="0"/>
          <w:sz w:val="28"/>
          <w:szCs w:val="28"/>
        </w:rPr>
      </w:pPr>
      <w:r w:rsidRPr="00A210CF">
        <w:rPr>
          <w:rFonts w:asciiTheme="minorHAnsi" w:hAnsiTheme="minorHAnsi"/>
          <w:sz w:val="28"/>
          <w:szCs w:val="28"/>
        </w:rPr>
        <w:t>Ubebygde tomter</w:t>
      </w:r>
    </w:p>
    <w:p w:rsidR="00AF0F6A" w:rsidRDefault="00AF0F6A" w:rsidP="00556A8E">
      <w:pPr>
        <w:pStyle w:val="Overskrift2"/>
        <w:ind w:left="0"/>
        <w:rPr>
          <w:rFonts w:asciiTheme="minorHAnsi" w:hAnsiTheme="minorHAnsi"/>
          <w:b w:val="0"/>
          <w:bCs w:val="0"/>
          <w:sz w:val="28"/>
          <w:szCs w:val="28"/>
        </w:rPr>
      </w:pPr>
    </w:p>
    <w:p w:rsidR="00F609A8" w:rsidRDefault="00F609A8" w:rsidP="00556A8E">
      <w:pPr>
        <w:pStyle w:val="Overskrift2"/>
        <w:ind w:left="0"/>
        <w:rPr>
          <w:rFonts w:asciiTheme="minorHAnsi" w:hAnsiTheme="minorHAnsi"/>
          <w:b w:val="0"/>
          <w:bCs w:val="0"/>
          <w:sz w:val="28"/>
          <w:szCs w:val="28"/>
        </w:rPr>
      </w:pPr>
      <w:r>
        <w:rPr>
          <w:rFonts w:asciiTheme="minorHAnsi" w:hAnsiTheme="minorHAnsi"/>
          <w:b w:val="0"/>
          <w:bCs w:val="0"/>
          <w:sz w:val="28"/>
          <w:szCs w:val="28"/>
        </w:rPr>
        <w:t>Sjablong kvadratmeterpris</w:t>
      </w:r>
      <w:r w:rsidRPr="00F609A8">
        <w:rPr>
          <w:rFonts w:asciiTheme="minorHAnsi" w:hAnsiTheme="minorHAnsi"/>
          <w:b w:val="0"/>
          <w:bCs w:val="0"/>
          <w:sz w:val="28"/>
          <w:szCs w:val="28"/>
        </w:rPr>
        <w:t xml:space="preserve"> Ubebygde bolig-,  fritid- og landbruks tomter kr 0 per m2.</w:t>
      </w:r>
    </w:p>
    <w:p w:rsidR="00242192" w:rsidRDefault="00242192" w:rsidP="00556A8E">
      <w:pPr>
        <w:pStyle w:val="Overskrift2"/>
        <w:ind w:left="0"/>
        <w:rPr>
          <w:rFonts w:asciiTheme="minorHAnsi" w:hAnsiTheme="minorHAnsi"/>
          <w:b w:val="0"/>
          <w:bCs w:val="0"/>
          <w:sz w:val="28"/>
          <w:szCs w:val="28"/>
        </w:rPr>
      </w:pPr>
    </w:p>
    <w:p w:rsidR="00242192" w:rsidRPr="00242192" w:rsidRDefault="00242192" w:rsidP="00556A8E">
      <w:pPr>
        <w:pStyle w:val="Overskrift2"/>
        <w:ind w:left="0"/>
        <w:rPr>
          <w:rFonts w:asciiTheme="minorHAnsi" w:hAnsiTheme="minorHAnsi"/>
          <w:b w:val="0"/>
          <w:bCs w:val="0"/>
          <w:sz w:val="28"/>
          <w:szCs w:val="28"/>
        </w:rPr>
      </w:pPr>
      <w:r w:rsidRPr="00242192">
        <w:rPr>
          <w:rFonts w:asciiTheme="minorHAnsi" w:hAnsiTheme="minorHAnsi"/>
          <w:b w:val="0"/>
          <w:bCs w:val="0"/>
          <w:sz w:val="28"/>
          <w:szCs w:val="28"/>
        </w:rPr>
        <w:t xml:space="preserve">Sjablongprisene for tomtegrunn nedenfor </w:t>
      </w:r>
      <w:r>
        <w:rPr>
          <w:rFonts w:asciiTheme="minorHAnsi" w:hAnsiTheme="minorHAnsi"/>
          <w:b w:val="0"/>
          <w:bCs w:val="0"/>
          <w:sz w:val="28"/>
          <w:szCs w:val="28"/>
        </w:rPr>
        <w:t xml:space="preserve">gjelder </w:t>
      </w:r>
      <w:r w:rsidRPr="00242192">
        <w:rPr>
          <w:rFonts w:asciiTheme="minorHAnsi" w:hAnsiTheme="minorHAnsi"/>
          <w:b w:val="0"/>
          <w:bCs w:val="0"/>
          <w:sz w:val="28"/>
          <w:szCs w:val="28"/>
          <w:u w:val="single"/>
        </w:rPr>
        <w:t>bebygde tomter</w:t>
      </w:r>
      <w:r w:rsidRPr="00242192">
        <w:rPr>
          <w:rFonts w:asciiTheme="minorHAnsi" w:hAnsiTheme="minorHAnsi"/>
          <w:b w:val="0"/>
          <w:bCs w:val="0"/>
          <w:sz w:val="28"/>
          <w:szCs w:val="28"/>
        </w:rPr>
        <w:t>. For bolig og fritidstomt takseres inntil 1 daa, og for næringstomt takseres inntil 2 daa.</w:t>
      </w:r>
    </w:p>
    <w:p w:rsidR="00556A8E" w:rsidRPr="00F609A8" w:rsidRDefault="00556A8E" w:rsidP="00556A8E">
      <w:pPr>
        <w:pStyle w:val="Brdtekst"/>
        <w:spacing w:before="3"/>
        <w:rPr>
          <w:rFonts w:asciiTheme="minorHAnsi" w:hAnsiTheme="minorHAnsi"/>
          <w:sz w:val="28"/>
          <w:szCs w:val="28"/>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687"/>
      </w:tblGrid>
      <w:tr w:rsidR="00556A8E" w:rsidRPr="00A210CF" w:rsidTr="00CA57DC">
        <w:trPr>
          <w:trHeight w:val="335"/>
        </w:trPr>
        <w:tc>
          <w:tcPr>
            <w:tcW w:w="4645" w:type="dxa"/>
          </w:tcPr>
          <w:p w:rsidR="00556A8E" w:rsidRPr="00A210CF" w:rsidRDefault="00556A8E" w:rsidP="00CA57DC">
            <w:pPr>
              <w:pStyle w:val="TableParagraph"/>
              <w:spacing w:line="292" w:lineRule="exact"/>
              <w:rPr>
                <w:rFonts w:asciiTheme="minorHAnsi" w:hAnsiTheme="minorHAnsi"/>
                <w:b/>
                <w:sz w:val="28"/>
                <w:szCs w:val="28"/>
              </w:rPr>
            </w:pPr>
            <w:r w:rsidRPr="00A210CF">
              <w:rPr>
                <w:rFonts w:asciiTheme="minorHAnsi" w:hAnsiTheme="minorHAnsi"/>
                <w:b/>
                <w:sz w:val="28"/>
                <w:szCs w:val="28"/>
              </w:rPr>
              <w:t>Tomtekategori</w:t>
            </w:r>
          </w:p>
        </w:tc>
        <w:tc>
          <w:tcPr>
            <w:tcW w:w="3687" w:type="dxa"/>
          </w:tcPr>
          <w:p w:rsidR="00556A8E" w:rsidRPr="00A210CF" w:rsidRDefault="00556A8E" w:rsidP="00CA57DC">
            <w:pPr>
              <w:pStyle w:val="TableParagraph"/>
              <w:spacing w:line="292" w:lineRule="exact"/>
              <w:rPr>
                <w:rFonts w:asciiTheme="minorHAnsi" w:hAnsiTheme="minorHAnsi"/>
                <w:b/>
                <w:sz w:val="28"/>
                <w:szCs w:val="28"/>
              </w:rPr>
            </w:pPr>
            <w:r w:rsidRPr="00A210CF">
              <w:rPr>
                <w:rFonts w:asciiTheme="minorHAnsi" w:hAnsiTheme="minorHAnsi"/>
                <w:b/>
                <w:sz w:val="28"/>
                <w:szCs w:val="28"/>
              </w:rPr>
              <w:t>Kvadratmeterpris eller stykkpris</w:t>
            </w:r>
          </w:p>
        </w:tc>
      </w:tr>
      <w:tr w:rsidR="00242192" w:rsidRPr="00A210CF" w:rsidTr="00CA57DC">
        <w:trPr>
          <w:trHeight w:val="338"/>
        </w:trPr>
        <w:tc>
          <w:tcPr>
            <w:tcW w:w="4645" w:type="dxa"/>
          </w:tcPr>
          <w:p w:rsidR="00242192" w:rsidRPr="00A210CF" w:rsidRDefault="00242192" w:rsidP="00242192">
            <w:pPr>
              <w:pStyle w:val="TableParagraph"/>
              <w:spacing w:before="1" w:line="240" w:lineRule="auto"/>
              <w:rPr>
                <w:rFonts w:asciiTheme="minorHAnsi" w:hAnsiTheme="minorHAnsi"/>
                <w:sz w:val="28"/>
                <w:szCs w:val="28"/>
              </w:rPr>
            </w:pPr>
            <w:r w:rsidRPr="00A210CF">
              <w:rPr>
                <w:rFonts w:asciiTheme="minorHAnsi" w:hAnsiTheme="minorHAnsi"/>
                <w:sz w:val="28"/>
                <w:szCs w:val="28"/>
              </w:rPr>
              <w:t>Tomt helårsbolig</w:t>
            </w:r>
          </w:p>
        </w:tc>
        <w:tc>
          <w:tcPr>
            <w:tcW w:w="3687" w:type="dxa"/>
          </w:tcPr>
          <w:p w:rsidR="00242192" w:rsidRPr="00A210CF" w:rsidRDefault="00242192" w:rsidP="00242192">
            <w:pPr>
              <w:pStyle w:val="TableParagraph"/>
              <w:spacing w:line="240" w:lineRule="auto"/>
              <w:ind w:left="0"/>
              <w:rPr>
                <w:rFonts w:asciiTheme="minorHAnsi" w:hAnsiTheme="minorHAnsi"/>
                <w:sz w:val="28"/>
                <w:szCs w:val="28"/>
              </w:rPr>
            </w:pPr>
            <w:r w:rsidRPr="00242192">
              <w:rPr>
                <w:rFonts w:asciiTheme="minorHAnsi" w:hAnsiTheme="minorHAnsi"/>
                <w:sz w:val="28"/>
                <w:szCs w:val="28"/>
              </w:rPr>
              <w:t xml:space="preserve">225 </w:t>
            </w:r>
          </w:p>
        </w:tc>
      </w:tr>
      <w:tr w:rsidR="00242192" w:rsidRPr="00A210CF" w:rsidTr="00CA57DC">
        <w:trPr>
          <w:trHeight w:val="338"/>
        </w:trPr>
        <w:tc>
          <w:tcPr>
            <w:tcW w:w="4645" w:type="dxa"/>
          </w:tcPr>
          <w:p w:rsidR="00242192" w:rsidRPr="00A210CF" w:rsidRDefault="00242192" w:rsidP="00242192">
            <w:pPr>
              <w:pStyle w:val="TableParagraph"/>
              <w:spacing w:line="292" w:lineRule="exact"/>
              <w:rPr>
                <w:rFonts w:asciiTheme="minorHAnsi" w:hAnsiTheme="minorHAnsi"/>
                <w:sz w:val="28"/>
                <w:szCs w:val="28"/>
              </w:rPr>
            </w:pPr>
            <w:r w:rsidRPr="00A210CF">
              <w:rPr>
                <w:rFonts w:asciiTheme="minorHAnsi" w:hAnsiTheme="minorHAnsi"/>
                <w:sz w:val="28"/>
                <w:szCs w:val="28"/>
              </w:rPr>
              <w:t>Tomt fritidsbolig</w:t>
            </w:r>
          </w:p>
        </w:tc>
        <w:tc>
          <w:tcPr>
            <w:tcW w:w="3687" w:type="dxa"/>
          </w:tcPr>
          <w:p w:rsidR="00242192" w:rsidRPr="00A210CF" w:rsidRDefault="00242192" w:rsidP="00242192">
            <w:pPr>
              <w:pStyle w:val="TableParagraph"/>
              <w:spacing w:line="240" w:lineRule="auto"/>
              <w:ind w:left="0"/>
              <w:rPr>
                <w:rFonts w:asciiTheme="minorHAnsi" w:hAnsiTheme="minorHAnsi"/>
                <w:sz w:val="28"/>
                <w:szCs w:val="28"/>
              </w:rPr>
            </w:pPr>
            <w:r w:rsidRPr="00242192">
              <w:rPr>
                <w:rFonts w:asciiTheme="minorHAnsi" w:hAnsiTheme="minorHAnsi"/>
                <w:sz w:val="28"/>
                <w:szCs w:val="28"/>
              </w:rPr>
              <w:t>225</w:t>
            </w:r>
          </w:p>
        </w:tc>
      </w:tr>
      <w:tr w:rsidR="00242192" w:rsidRPr="00A210CF" w:rsidTr="00CA57DC">
        <w:trPr>
          <w:trHeight w:val="338"/>
        </w:trPr>
        <w:tc>
          <w:tcPr>
            <w:tcW w:w="4645" w:type="dxa"/>
          </w:tcPr>
          <w:p w:rsidR="00242192" w:rsidRPr="00A210CF" w:rsidRDefault="00242192" w:rsidP="00242192">
            <w:pPr>
              <w:pStyle w:val="TableParagraph"/>
              <w:spacing w:line="292" w:lineRule="exact"/>
              <w:rPr>
                <w:rFonts w:asciiTheme="minorHAnsi" w:hAnsiTheme="minorHAnsi"/>
                <w:sz w:val="28"/>
                <w:szCs w:val="28"/>
              </w:rPr>
            </w:pPr>
            <w:r>
              <w:rPr>
                <w:rFonts w:asciiTheme="minorHAnsi" w:hAnsiTheme="minorHAnsi"/>
                <w:sz w:val="28"/>
                <w:szCs w:val="28"/>
              </w:rPr>
              <w:t>Tomt industri, lager, kontor, forretningsbygg</w:t>
            </w:r>
          </w:p>
        </w:tc>
        <w:tc>
          <w:tcPr>
            <w:tcW w:w="3687" w:type="dxa"/>
          </w:tcPr>
          <w:p w:rsidR="00242192" w:rsidRDefault="00242192" w:rsidP="00242192">
            <w:pPr>
              <w:pStyle w:val="TableParagraph"/>
              <w:spacing w:line="240" w:lineRule="auto"/>
              <w:ind w:left="0"/>
              <w:rPr>
                <w:rFonts w:asciiTheme="minorHAnsi" w:hAnsiTheme="minorHAnsi"/>
                <w:sz w:val="28"/>
                <w:szCs w:val="28"/>
              </w:rPr>
            </w:pPr>
            <w:r w:rsidRPr="00242192">
              <w:rPr>
                <w:rFonts w:asciiTheme="minorHAnsi" w:hAnsiTheme="minorHAnsi"/>
                <w:sz w:val="28"/>
                <w:szCs w:val="28"/>
              </w:rPr>
              <w:t>225</w:t>
            </w:r>
          </w:p>
        </w:tc>
      </w:tr>
    </w:tbl>
    <w:p w:rsidR="00556A8E" w:rsidRPr="00A210CF" w:rsidRDefault="00556A8E" w:rsidP="00556A8E">
      <w:pPr>
        <w:pStyle w:val="Brdtekst"/>
        <w:spacing w:before="5"/>
        <w:rPr>
          <w:rFonts w:asciiTheme="minorHAnsi" w:hAnsiTheme="minorHAnsi"/>
          <w:b/>
          <w:sz w:val="28"/>
          <w:szCs w:val="28"/>
        </w:rPr>
      </w:pPr>
    </w:p>
    <w:p w:rsidR="00556A8E" w:rsidRPr="00A210CF" w:rsidRDefault="00556A8E" w:rsidP="00556A8E">
      <w:pPr>
        <w:pStyle w:val="Brdtekst"/>
        <w:spacing w:before="1" w:line="276" w:lineRule="auto"/>
        <w:ind w:right="752"/>
        <w:rPr>
          <w:rFonts w:asciiTheme="minorHAnsi" w:hAnsiTheme="minorHAnsi"/>
          <w:sz w:val="28"/>
          <w:szCs w:val="28"/>
        </w:rPr>
      </w:pPr>
    </w:p>
    <w:p w:rsidR="00556A8E" w:rsidRPr="00A210CF" w:rsidRDefault="00556A8E" w:rsidP="00556A8E">
      <w:pPr>
        <w:pStyle w:val="Overskrift1"/>
        <w:keepNext w:val="0"/>
        <w:keepLines w:val="0"/>
        <w:widowControl w:val="0"/>
        <w:tabs>
          <w:tab w:val="left" w:pos="824"/>
        </w:tabs>
        <w:autoSpaceDE w:val="0"/>
        <w:autoSpaceDN w:val="0"/>
        <w:spacing w:before="98" w:line="240" w:lineRule="auto"/>
        <w:rPr>
          <w:rFonts w:asciiTheme="minorHAnsi" w:hAnsiTheme="minorHAnsi"/>
          <w:sz w:val="28"/>
          <w:szCs w:val="28"/>
        </w:rPr>
      </w:pPr>
      <w:r w:rsidRPr="00A210CF">
        <w:rPr>
          <w:rFonts w:asciiTheme="minorHAnsi" w:hAnsiTheme="minorHAnsi"/>
          <w:color w:val="00AFEF"/>
          <w:sz w:val="28"/>
          <w:szCs w:val="28"/>
        </w:rPr>
        <w:t>Arealfaktor</w:t>
      </w:r>
    </w:p>
    <w:p w:rsidR="00556A8E" w:rsidRPr="00A210CF" w:rsidRDefault="00556A8E" w:rsidP="00556A8E">
      <w:pPr>
        <w:pStyle w:val="Brdtekst"/>
        <w:spacing w:before="9"/>
        <w:rPr>
          <w:rFonts w:asciiTheme="minorHAnsi" w:hAnsiTheme="minorHAnsi"/>
          <w:b/>
          <w:sz w:val="28"/>
          <w:szCs w:val="28"/>
        </w:rPr>
      </w:pPr>
    </w:p>
    <w:p w:rsidR="00451042" w:rsidRDefault="00451042" w:rsidP="004C65B2">
      <w:pPr>
        <w:rPr>
          <w:color w:val="5B9BD5" w:themeColor="accent1"/>
          <w:sz w:val="24"/>
          <w:szCs w:val="24"/>
        </w:rPr>
      </w:pPr>
      <w:r w:rsidRPr="003D7E64">
        <w:rPr>
          <w:sz w:val="28"/>
          <w:szCs w:val="28"/>
        </w:rPr>
        <w:t xml:space="preserve">Nemnda benytter en fratrekksfaktor for areal. Det benyttes etasjefaktor for å sette gjennomsnittsverdier på de ulike etasjene i et bygg, med utgangspunkt i </w:t>
      </w:r>
      <w:r w:rsidRPr="003D7E64">
        <w:rPr>
          <w:sz w:val="28"/>
          <w:szCs w:val="28"/>
        </w:rPr>
        <w:lastRenderedPageBreak/>
        <w:t>vanlig funksjon i den aktuelle etasje. Denne reduserer takstpliktig areal på loft, i kjeller og i underetasje. Faktoren er felles for alle boligbygg. Garasje og andre bygg uten boenhet har etasjefaktor 1 uansett etasjetype.</w:t>
      </w:r>
      <w:r w:rsidR="004C65B2">
        <w:rPr>
          <w:color w:val="5B9BD5" w:themeColor="accent1"/>
          <w:sz w:val="24"/>
          <w:szCs w:val="24"/>
        </w:rPr>
        <w:t xml:space="preserve"> </w:t>
      </w:r>
    </w:p>
    <w:p w:rsidR="004C65B2" w:rsidRPr="004C65B2" w:rsidRDefault="004C65B2" w:rsidP="004C65B2">
      <w:pPr>
        <w:autoSpaceDE w:val="0"/>
        <w:autoSpaceDN w:val="0"/>
        <w:adjustRightInd w:val="0"/>
        <w:spacing w:after="0" w:line="240" w:lineRule="auto"/>
        <w:rPr>
          <w:sz w:val="28"/>
          <w:szCs w:val="28"/>
        </w:rPr>
      </w:pPr>
      <w:r w:rsidRPr="004C65B2">
        <w:rPr>
          <w:rFonts w:ascii="Calibri" w:eastAsia="Times New Roman" w:hAnsi="Calibri" w:cs="Calibri"/>
          <w:color w:val="000000"/>
          <w:sz w:val="28"/>
          <w:szCs w:val="28"/>
        </w:rPr>
        <w:t>a</w:t>
      </w:r>
      <w:r w:rsidRPr="004C65B2">
        <w:rPr>
          <w:rFonts w:ascii="Calibri" w:eastAsia="Times New Roman" w:hAnsi="Calibri" w:cs="Calibri"/>
          <w:color w:val="000000"/>
        </w:rPr>
        <w:t xml:space="preserve">. </w:t>
      </w:r>
      <w:r w:rsidRPr="004C65B2">
        <w:rPr>
          <w:sz w:val="28"/>
          <w:szCs w:val="28"/>
        </w:rPr>
        <w:t>Etasjefaktorer for boliger, terrassehus, blokker og fritidsbolig:</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0" w:type="dxa"/>
          <w:left w:w="10" w:type="dxa"/>
          <w:bottom w:w="10" w:type="dxa"/>
          <w:right w:w="10" w:type="dxa"/>
        </w:tblCellMar>
        <w:tblLook w:val="0000" w:firstRow="0" w:lastRow="0" w:firstColumn="0" w:lastColumn="0" w:noHBand="0" w:noVBand="0"/>
      </w:tblPr>
      <w:tblGrid>
        <w:gridCol w:w="2741"/>
        <w:gridCol w:w="1654"/>
      </w:tblGrid>
      <w:tr w:rsidR="004C65B2" w:rsidRPr="004C65B2" w:rsidTr="004C65B2">
        <w:tc>
          <w:tcPr>
            <w:tcW w:w="2741" w:type="dxa"/>
            <w:shd w:val="clear" w:color="auto" w:fill="D9D9D9"/>
          </w:tcPr>
          <w:p w:rsidR="004C65B2" w:rsidRPr="004C65B2" w:rsidRDefault="004C65B2">
            <w:pPr>
              <w:autoSpaceDE w:val="0"/>
              <w:autoSpaceDN w:val="0"/>
              <w:adjustRightInd w:val="0"/>
              <w:spacing w:before="90" w:after="0" w:line="240" w:lineRule="auto"/>
              <w:rPr>
                <w:sz w:val="28"/>
                <w:szCs w:val="28"/>
              </w:rPr>
            </w:pPr>
            <w:r w:rsidRPr="004C65B2">
              <w:rPr>
                <w:sz w:val="28"/>
                <w:szCs w:val="28"/>
              </w:rPr>
              <w:t>Etasjer</w:t>
            </w:r>
          </w:p>
        </w:tc>
        <w:tc>
          <w:tcPr>
            <w:tcW w:w="1654" w:type="dxa"/>
            <w:shd w:val="clear" w:color="auto" w:fill="D9D9D9"/>
          </w:tcPr>
          <w:p w:rsidR="004C65B2" w:rsidRPr="004C65B2" w:rsidRDefault="004C65B2">
            <w:pPr>
              <w:autoSpaceDE w:val="0"/>
              <w:autoSpaceDN w:val="0"/>
              <w:adjustRightInd w:val="0"/>
              <w:spacing w:before="90" w:after="0" w:line="240" w:lineRule="auto"/>
              <w:jc w:val="center"/>
              <w:rPr>
                <w:sz w:val="28"/>
                <w:szCs w:val="28"/>
              </w:rPr>
            </w:pPr>
            <w:r w:rsidRPr="004C65B2">
              <w:rPr>
                <w:sz w:val="28"/>
                <w:szCs w:val="28"/>
              </w:rPr>
              <w:t>Etasjefaktor</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Første hovedetasje</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1,0</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Øvrige hovedetasjer</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0,8</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Loft</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0,3</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 xml:space="preserve">Underetasje </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0,5</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Kjeller</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0,2</w:t>
            </w:r>
          </w:p>
        </w:tc>
      </w:tr>
    </w:tbl>
    <w:p w:rsidR="004C65B2" w:rsidRPr="004C65B2" w:rsidRDefault="004C65B2" w:rsidP="004C65B2">
      <w:pPr>
        <w:autoSpaceDE w:val="0"/>
        <w:autoSpaceDN w:val="0"/>
        <w:adjustRightInd w:val="0"/>
        <w:spacing w:after="0" w:line="240" w:lineRule="auto"/>
        <w:rPr>
          <w:sz w:val="28"/>
          <w:szCs w:val="28"/>
        </w:rPr>
      </w:pPr>
    </w:p>
    <w:p w:rsidR="004C65B2" w:rsidRPr="004C65B2" w:rsidRDefault="004C65B2" w:rsidP="004C65B2">
      <w:pPr>
        <w:autoSpaceDE w:val="0"/>
        <w:autoSpaceDN w:val="0"/>
        <w:adjustRightInd w:val="0"/>
        <w:spacing w:after="0" w:line="240" w:lineRule="auto"/>
        <w:rPr>
          <w:sz w:val="28"/>
          <w:szCs w:val="28"/>
        </w:rPr>
      </w:pPr>
      <w:r w:rsidRPr="004C65B2">
        <w:rPr>
          <w:sz w:val="28"/>
          <w:szCs w:val="28"/>
        </w:rPr>
        <w:t>b. Etasjefaktorer for kontor, forretning:</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0" w:type="dxa"/>
          <w:left w:w="10" w:type="dxa"/>
          <w:bottom w:w="10" w:type="dxa"/>
          <w:right w:w="10" w:type="dxa"/>
        </w:tblCellMar>
        <w:tblLook w:val="0000" w:firstRow="0" w:lastRow="0" w:firstColumn="0" w:lastColumn="0" w:noHBand="0" w:noVBand="0"/>
      </w:tblPr>
      <w:tblGrid>
        <w:gridCol w:w="2741"/>
        <w:gridCol w:w="1654"/>
      </w:tblGrid>
      <w:tr w:rsidR="004C65B2" w:rsidRPr="004C65B2" w:rsidTr="004C65B2">
        <w:tc>
          <w:tcPr>
            <w:tcW w:w="2741" w:type="dxa"/>
            <w:shd w:val="clear" w:color="auto" w:fill="D9D9D9"/>
          </w:tcPr>
          <w:p w:rsidR="004C65B2" w:rsidRPr="004C65B2" w:rsidRDefault="004C65B2">
            <w:pPr>
              <w:autoSpaceDE w:val="0"/>
              <w:autoSpaceDN w:val="0"/>
              <w:adjustRightInd w:val="0"/>
              <w:spacing w:before="90" w:after="0" w:line="240" w:lineRule="auto"/>
              <w:rPr>
                <w:sz w:val="28"/>
                <w:szCs w:val="28"/>
              </w:rPr>
            </w:pPr>
            <w:r w:rsidRPr="004C65B2">
              <w:rPr>
                <w:sz w:val="28"/>
                <w:szCs w:val="28"/>
              </w:rPr>
              <w:t>Etasjer</w:t>
            </w:r>
          </w:p>
        </w:tc>
        <w:tc>
          <w:tcPr>
            <w:tcW w:w="1654" w:type="dxa"/>
            <w:shd w:val="clear" w:color="auto" w:fill="D9D9D9"/>
          </w:tcPr>
          <w:p w:rsidR="004C65B2" w:rsidRPr="004C65B2" w:rsidRDefault="004C65B2">
            <w:pPr>
              <w:autoSpaceDE w:val="0"/>
              <w:autoSpaceDN w:val="0"/>
              <w:adjustRightInd w:val="0"/>
              <w:spacing w:before="90" w:after="0" w:line="240" w:lineRule="auto"/>
              <w:jc w:val="center"/>
              <w:rPr>
                <w:sz w:val="28"/>
                <w:szCs w:val="28"/>
              </w:rPr>
            </w:pPr>
            <w:r w:rsidRPr="004C65B2">
              <w:rPr>
                <w:sz w:val="28"/>
                <w:szCs w:val="28"/>
              </w:rPr>
              <w:t>Etasjefaktor</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Pr>
                <w:sz w:val="28"/>
                <w:szCs w:val="28"/>
              </w:rPr>
              <w:t>Første hovedetasje (P</w:t>
            </w:r>
            <w:r w:rsidRPr="004C65B2">
              <w:rPr>
                <w:sz w:val="28"/>
                <w:szCs w:val="28"/>
              </w:rPr>
              <w:t>rimær)</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1,0</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Øvrige hovedetasjer</w:t>
            </w:r>
          </w:p>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(Sekundær)</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0,8</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Loft</w:t>
            </w:r>
          </w:p>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(Tertiær)</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0,5</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 xml:space="preserve">Underetasje </w:t>
            </w:r>
          </w:p>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(Tertiær)</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0,5</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Kjeller</w:t>
            </w:r>
          </w:p>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(Tertiær)</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0,3</w:t>
            </w:r>
          </w:p>
        </w:tc>
      </w:tr>
    </w:tbl>
    <w:p w:rsidR="004C65B2" w:rsidRDefault="004C65B2" w:rsidP="004C65B2">
      <w:pPr>
        <w:autoSpaceDE w:val="0"/>
        <w:autoSpaceDN w:val="0"/>
        <w:adjustRightInd w:val="0"/>
        <w:spacing w:after="0" w:line="240" w:lineRule="auto"/>
        <w:ind w:left="1080"/>
        <w:rPr>
          <w:sz w:val="28"/>
          <w:szCs w:val="28"/>
        </w:rPr>
      </w:pPr>
    </w:p>
    <w:p w:rsidR="001B7028" w:rsidRPr="004C65B2" w:rsidRDefault="001B7028" w:rsidP="004C65B2">
      <w:pPr>
        <w:autoSpaceDE w:val="0"/>
        <w:autoSpaceDN w:val="0"/>
        <w:adjustRightInd w:val="0"/>
        <w:spacing w:after="0" w:line="240" w:lineRule="auto"/>
        <w:ind w:left="1080"/>
        <w:rPr>
          <w:sz w:val="28"/>
          <w:szCs w:val="28"/>
        </w:rPr>
      </w:pPr>
    </w:p>
    <w:p w:rsidR="004C65B2" w:rsidRPr="004C65B2" w:rsidRDefault="004C65B2" w:rsidP="004C65B2">
      <w:pPr>
        <w:autoSpaceDE w:val="0"/>
        <w:autoSpaceDN w:val="0"/>
        <w:adjustRightInd w:val="0"/>
        <w:spacing w:after="0" w:line="240" w:lineRule="auto"/>
        <w:rPr>
          <w:sz w:val="28"/>
          <w:szCs w:val="28"/>
        </w:rPr>
      </w:pPr>
      <w:r w:rsidRPr="004C65B2">
        <w:rPr>
          <w:sz w:val="28"/>
          <w:szCs w:val="28"/>
        </w:rPr>
        <w:t>c. Etasjefaktorer for øvrige bygningsgrupper:</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0" w:type="dxa"/>
          <w:left w:w="10" w:type="dxa"/>
          <w:bottom w:w="10" w:type="dxa"/>
          <w:right w:w="10" w:type="dxa"/>
        </w:tblCellMar>
        <w:tblLook w:val="0000" w:firstRow="0" w:lastRow="0" w:firstColumn="0" w:lastColumn="0" w:noHBand="0" w:noVBand="0"/>
      </w:tblPr>
      <w:tblGrid>
        <w:gridCol w:w="2741"/>
        <w:gridCol w:w="1654"/>
      </w:tblGrid>
      <w:tr w:rsidR="004C65B2" w:rsidRPr="004C65B2" w:rsidTr="004C65B2">
        <w:tc>
          <w:tcPr>
            <w:tcW w:w="2741" w:type="dxa"/>
            <w:shd w:val="clear" w:color="auto" w:fill="D9D9D9"/>
          </w:tcPr>
          <w:p w:rsidR="004C65B2" w:rsidRPr="004C65B2" w:rsidRDefault="004C65B2">
            <w:pPr>
              <w:autoSpaceDE w:val="0"/>
              <w:autoSpaceDN w:val="0"/>
              <w:adjustRightInd w:val="0"/>
              <w:spacing w:before="90" w:after="0" w:line="240" w:lineRule="auto"/>
              <w:rPr>
                <w:sz w:val="28"/>
                <w:szCs w:val="28"/>
              </w:rPr>
            </w:pPr>
            <w:r w:rsidRPr="004C65B2">
              <w:rPr>
                <w:sz w:val="28"/>
                <w:szCs w:val="28"/>
              </w:rPr>
              <w:t>Etasjer</w:t>
            </w:r>
          </w:p>
        </w:tc>
        <w:tc>
          <w:tcPr>
            <w:tcW w:w="1654" w:type="dxa"/>
            <w:shd w:val="clear" w:color="auto" w:fill="D9D9D9"/>
          </w:tcPr>
          <w:p w:rsidR="004C65B2" w:rsidRPr="004C65B2" w:rsidRDefault="004C65B2">
            <w:pPr>
              <w:autoSpaceDE w:val="0"/>
              <w:autoSpaceDN w:val="0"/>
              <w:adjustRightInd w:val="0"/>
              <w:spacing w:before="90" w:after="0" w:line="240" w:lineRule="auto"/>
              <w:jc w:val="center"/>
              <w:rPr>
                <w:sz w:val="28"/>
                <w:szCs w:val="28"/>
              </w:rPr>
            </w:pPr>
            <w:r w:rsidRPr="004C65B2">
              <w:rPr>
                <w:sz w:val="28"/>
                <w:szCs w:val="28"/>
              </w:rPr>
              <w:t>Etasjefaktor</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Første hovedetasje</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1,0</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Øvrige hovedetasjer</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0,8</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Loft</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0,5</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 xml:space="preserve">Underetasje </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0,5</w:t>
            </w:r>
          </w:p>
        </w:tc>
      </w:tr>
      <w:tr w:rsidR="004C65B2" w:rsidRPr="004C65B2" w:rsidTr="004C65B2">
        <w:tc>
          <w:tcPr>
            <w:tcW w:w="2741" w:type="dxa"/>
            <w:shd w:val="clear" w:color="auto" w:fill="FFFFFF"/>
          </w:tcPr>
          <w:p w:rsidR="004C65B2" w:rsidRPr="004C65B2" w:rsidRDefault="004C65B2">
            <w:pPr>
              <w:autoSpaceDE w:val="0"/>
              <w:autoSpaceDN w:val="0"/>
              <w:adjustRightInd w:val="0"/>
              <w:spacing w:after="0" w:line="240" w:lineRule="auto"/>
              <w:ind w:left="120" w:right="120"/>
              <w:rPr>
                <w:sz w:val="28"/>
                <w:szCs w:val="28"/>
              </w:rPr>
            </w:pPr>
            <w:r w:rsidRPr="004C65B2">
              <w:rPr>
                <w:sz w:val="28"/>
                <w:szCs w:val="28"/>
              </w:rPr>
              <w:t>Kjeller</w:t>
            </w:r>
          </w:p>
        </w:tc>
        <w:tc>
          <w:tcPr>
            <w:tcW w:w="1654" w:type="dxa"/>
            <w:shd w:val="clear" w:color="auto" w:fill="FFFFFF"/>
          </w:tcPr>
          <w:p w:rsidR="004C65B2" w:rsidRPr="004C65B2" w:rsidRDefault="004C65B2">
            <w:pPr>
              <w:autoSpaceDE w:val="0"/>
              <w:autoSpaceDN w:val="0"/>
              <w:adjustRightInd w:val="0"/>
              <w:spacing w:after="0" w:line="240" w:lineRule="auto"/>
              <w:ind w:left="120" w:right="120"/>
              <w:jc w:val="center"/>
              <w:rPr>
                <w:sz w:val="28"/>
                <w:szCs w:val="28"/>
              </w:rPr>
            </w:pPr>
            <w:r w:rsidRPr="004C65B2">
              <w:rPr>
                <w:sz w:val="28"/>
                <w:szCs w:val="28"/>
              </w:rPr>
              <w:t>0,3</w:t>
            </w:r>
          </w:p>
        </w:tc>
      </w:tr>
    </w:tbl>
    <w:p w:rsidR="00536CB8" w:rsidRDefault="00536CB8" w:rsidP="00451042">
      <w:pPr>
        <w:rPr>
          <w:sz w:val="28"/>
          <w:szCs w:val="28"/>
        </w:rPr>
      </w:pPr>
    </w:p>
    <w:p w:rsidR="00CA57DC" w:rsidRDefault="00CA57DC" w:rsidP="00451042">
      <w:pPr>
        <w:rPr>
          <w:sz w:val="28"/>
          <w:szCs w:val="28"/>
        </w:rPr>
      </w:pPr>
    </w:p>
    <w:p w:rsidR="00CA57DC" w:rsidRDefault="00CA57DC" w:rsidP="00451042">
      <w:pPr>
        <w:rPr>
          <w:sz w:val="28"/>
          <w:szCs w:val="28"/>
        </w:rPr>
      </w:pPr>
    </w:p>
    <w:p w:rsidR="00CA57DC" w:rsidRDefault="00CA57DC" w:rsidP="00451042">
      <w:pPr>
        <w:rPr>
          <w:sz w:val="28"/>
          <w:szCs w:val="28"/>
        </w:rPr>
      </w:pPr>
    </w:p>
    <w:p w:rsidR="00CA57DC" w:rsidRDefault="00CA57DC" w:rsidP="00451042">
      <w:pPr>
        <w:rPr>
          <w:sz w:val="28"/>
          <w:szCs w:val="28"/>
        </w:rPr>
      </w:pPr>
    </w:p>
    <w:p w:rsidR="00556A8E" w:rsidRPr="00A210CF" w:rsidRDefault="00556A8E" w:rsidP="00556A8E">
      <w:pPr>
        <w:pStyle w:val="Brdtekst"/>
        <w:rPr>
          <w:rFonts w:asciiTheme="minorHAnsi" w:hAnsiTheme="minorHAnsi"/>
          <w:b/>
          <w:sz w:val="28"/>
          <w:szCs w:val="28"/>
        </w:rPr>
      </w:pPr>
    </w:p>
    <w:p w:rsidR="00556A8E" w:rsidRPr="00A210CF" w:rsidRDefault="00556A8E" w:rsidP="00556A8E">
      <w:pPr>
        <w:widowControl w:val="0"/>
        <w:tabs>
          <w:tab w:val="left" w:pos="824"/>
        </w:tabs>
        <w:autoSpaceDE w:val="0"/>
        <w:autoSpaceDN w:val="0"/>
        <w:spacing w:after="0" w:line="240" w:lineRule="auto"/>
        <w:rPr>
          <w:b/>
          <w:sz w:val="28"/>
          <w:szCs w:val="28"/>
        </w:rPr>
      </w:pPr>
      <w:r w:rsidRPr="00A210CF">
        <w:rPr>
          <w:b/>
          <w:color w:val="00AFEF"/>
          <w:sz w:val="28"/>
          <w:szCs w:val="28"/>
        </w:rPr>
        <w:t>Sonefaktorer</w:t>
      </w:r>
    </w:p>
    <w:p w:rsidR="00556A8E" w:rsidRPr="00A210CF" w:rsidRDefault="00556A8E" w:rsidP="00556A8E">
      <w:pPr>
        <w:pStyle w:val="Brdtekst"/>
        <w:spacing w:before="3"/>
        <w:rPr>
          <w:rFonts w:asciiTheme="minorHAnsi" w:hAnsiTheme="minorHAnsi"/>
          <w:b/>
          <w:sz w:val="28"/>
          <w:szCs w:val="28"/>
        </w:rPr>
      </w:pPr>
    </w:p>
    <w:p w:rsidR="00CA57DC" w:rsidRDefault="00556A8E" w:rsidP="00556A8E">
      <w:pPr>
        <w:pStyle w:val="Brdtekst"/>
        <w:ind w:right="546"/>
        <w:rPr>
          <w:rFonts w:asciiTheme="minorHAnsi" w:hAnsiTheme="minorHAnsi"/>
          <w:sz w:val="28"/>
          <w:szCs w:val="28"/>
        </w:rPr>
      </w:pPr>
      <w:r w:rsidRPr="00A210CF">
        <w:rPr>
          <w:rFonts w:asciiTheme="minorHAnsi" w:hAnsiTheme="minorHAnsi"/>
          <w:sz w:val="28"/>
          <w:szCs w:val="28"/>
        </w:rPr>
        <w:t>Kommunen er inndelt i soner ut fra forskjeller i prisnivået i ulike deler av kommunen. Sonene f</w:t>
      </w:r>
      <w:r w:rsidR="00CA57DC">
        <w:rPr>
          <w:rFonts w:asciiTheme="minorHAnsi" w:hAnsiTheme="minorHAnsi"/>
          <w:sz w:val="28"/>
          <w:szCs w:val="28"/>
        </w:rPr>
        <w:t>remgår av tabell</w:t>
      </w:r>
      <w:r w:rsidR="00DF7F3F">
        <w:rPr>
          <w:rFonts w:asciiTheme="minorHAnsi" w:hAnsiTheme="minorHAnsi"/>
          <w:sz w:val="28"/>
          <w:szCs w:val="28"/>
        </w:rPr>
        <w:t>ene nedenfor.</w:t>
      </w:r>
    </w:p>
    <w:p w:rsidR="00CA57DC" w:rsidRPr="00A210CF" w:rsidRDefault="00CA57DC" w:rsidP="00556A8E">
      <w:pPr>
        <w:pStyle w:val="Brdtekst"/>
        <w:ind w:right="546"/>
        <w:rPr>
          <w:rFonts w:asciiTheme="minorHAnsi" w:hAnsiTheme="minorHAnsi"/>
          <w:sz w:val="28"/>
          <w:szCs w:val="28"/>
        </w:rPr>
      </w:pPr>
    </w:p>
    <w:p w:rsidR="00556A8E" w:rsidRDefault="00556A8E" w:rsidP="00556A8E">
      <w:pPr>
        <w:pStyle w:val="Brdtekst"/>
        <w:rPr>
          <w:rFonts w:asciiTheme="minorHAnsi" w:hAnsiTheme="minorHAnsi"/>
          <w:sz w:val="28"/>
          <w:szCs w:val="28"/>
        </w:rPr>
      </w:pPr>
    </w:p>
    <w:p w:rsidR="00556A8E" w:rsidRPr="00A210CF" w:rsidRDefault="00556A8E" w:rsidP="00CA57DC">
      <w:pPr>
        <w:pStyle w:val="Overskrift2"/>
        <w:ind w:left="0"/>
        <w:rPr>
          <w:b w:val="0"/>
          <w:sz w:val="28"/>
          <w:szCs w:val="28"/>
        </w:rPr>
      </w:pPr>
      <w:r w:rsidRPr="00A210CF">
        <w:rPr>
          <w:rFonts w:asciiTheme="minorHAnsi" w:hAnsiTheme="minorHAnsi"/>
          <w:sz w:val="28"/>
          <w:szCs w:val="28"/>
        </w:rPr>
        <w:t>Boligeiendom og boligtomter, bolighus på konsesjonspliktig landbrukseiendom</w:t>
      </w:r>
      <w:r w:rsidR="00CA57DC">
        <w:rPr>
          <w:rFonts w:asciiTheme="minorHAnsi" w:hAnsiTheme="minorHAnsi"/>
          <w:sz w:val="28"/>
          <w:szCs w:val="28"/>
        </w:rPr>
        <w:t xml:space="preserve"> og f</w:t>
      </w:r>
      <w:r w:rsidRPr="00A210CF">
        <w:rPr>
          <w:sz w:val="28"/>
          <w:szCs w:val="28"/>
        </w:rPr>
        <w:t>ritidseiendom</w:t>
      </w:r>
      <w:r w:rsidR="00CA57DC">
        <w:rPr>
          <w:sz w:val="28"/>
          <w:szCs w:val="28"/>
        </w:rPr>
        <w:t>mer.</w:t>
      </w:r>
    </w:p>
    <w:p w:rsidR="00CA57DC" w:rsidRPr="001B7028" w:rsidRDefault="00CA57DC" w:rsidP="00CA57DC">
      <w:pPr>
        <w:autoSpaceDE w:val="0"/>
        <w:autoSpaceDN w:val="0"/>
        <w:adjustRightInd w:val="0"/>
        <w:spacing w:after="0" w:line="240" w:lineRule="auto"/>
        <w:rPr>
          <w:rFonts w:ascii="Calibri" w:eastAsia="Times New Roman" w:hAnsi="Calibri" w:cs="Calibri"/>
          <w:color w:val="000000"/>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0" w:type="dxa"/>
          <w:left w:w="10" w:type="dxa"/>
          <w:bottom w:w="10" w:type="dxa"/>
          <w:right w:w="10" w:type="dxa"/>
        </w:tblCellMar>
        <w:tblLook w:val="0000" w:firstRow="0" w:lastRow="0" w:firstColumn="0" w:lastColumn="0" w:noHBand="0" w:noVBand="0"/>
      </w:tblPr>
      <w:tblGrid>
        <w:gridCol w:w="2741"/>
        <w:gridCol w:w="1352"/>
      </w:tblGrid>
      <w:tr w:rsidR="00CA57DC">
        <w:tc>
          <w:tcPr>
            <w:tcW w:w="2741" w:type="dxa"/>
            <w:shd w:val="clear" w:color="auto" w:fill="D9D9D9"/>
          </w:tcPr>
          <w:p w:rsidR="00CA57DC" w:rsidRPr="001B7028" w:rsidRDefault="00CA57DC">
            <w:pPr>
              <w:autoSpaceDE w:val="0"/>
              <w:autoSpaceDN w:val="0"/>
              <w:adjustRightInd w:val="0"/>
              <w:spacing w:before="90" w:after="0" w:line="240" w:lineRule="auto"/>
              <w:rPr>
                <w:rFonts w:eastAsia="Calibri" w:cs="Calibri"/>
                <w:sz w:val="28"/>
                <w:szCs w:val="28"/>
                <w:lang w:val="nb" w:eastAsia="nb" w:bidi="nb"/>
              </w:rPr>
            </w:pPr>
            <w:r w:rsidRPr="001B7028">
              <w:rPr>
                <w:rFonts w:eastAsia="Calibri" w:cs="Calibri"/>
                <w:sz w:val="28"/>
                <w:szCs w:val="28"/>
                <w:lang w:val="nb" w:eastAsia="nb" w:bidi="nb"/>
              </w:rPr>
              <w:t>Sted</w:t>
            </w:r>
          </w:p>
        </w:tc>
        <w:tc>
          <w:tcPr>
            <w:tcW w:w="1352" w:type="dxa"/>
            <w:shd w:val="clear" w:color="auto" w:fill="D9D9D9"/>
          </w:tcPr>
          <w:p w:rsidR="00CA57DC" w:rsidRPr="001B7028" w:rsidRDefault="00CA57DC">
            <w:pPr>
              <w:autoSpaceDE w:val="0"/>
              <w:autoSpaceDN w:val="0"/>
              <w:adjustRightInd w:val="0"/>
              <w:spacing w:before="90" w:after="0" w:line="240" w:lineRule="auto"/>
              <w:jc w:val="center"/>
              <w:rPr>
                <w:rFonts w:eastAsia="Calibri" w:cs="Calibri"/>
                <w:sz w:val="28"/>
                <w:szCs w:val="28"/>
                <w:lang w:val="nb" w:eastAsia="nb" w:bidi="nb"/>
              </w:rPr>
            </w:pPr>
            <w:r w:rsidRPr="001B7028">
              <w:rPr>
                <w:rFonts w:eastAsia="Calibri" w:cs="Calibri"/>
                <w:sz w:val="28"/>
                <w:szCs w:val="28"/>
                <w:lang w:val="nb" w:eastAsia="nb" w:bidi="nb"/>
              </w:rPr>
              <w:t>Sonefaktor</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 xml:space="preserve">Gnr. 203 </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(byområdet,)</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1,0</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 xml:space="preserve">Gnr. 203 </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(Rauli, Høgåsen)</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0,9</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 xml:space="preserve">Gnr. 68 – 69 – 70 </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(Søyland,Tjørsvåg, Lilleh)</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0,8</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 xml:space="preserve">Gnr. 103 </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(Drangeid)</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0,8</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 xml:space="preserve">Gnr. 66 </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(Svege)</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0,8</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 xml:space="preserve">Gnr. 71 </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(Loga)</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0,6</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 xml:space="preserve">Gnr. 102 </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(Austad)</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0,6</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 xml:space="preserve">Gnr. 139 </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(Sira)</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0,6</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Deler av Gnr. 138 (Bakke)</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0,6</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Deler av Gnr. 140</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(Birkeland)</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0,6</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Nes utenom gnr. 66, 68,69,70,71,102,103</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0,6</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Fjellså, Abelnes (øst for fylkesvei 469) Andabeløy</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Gnr. 61,32 og 109</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0,7</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lastRenderedPageBreak/>
              <w:t xml:space="preserve">Sira, </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gnr. 115-138</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0,6</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Gyland,</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Gnr. 141-202</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0,6</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Hidra</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Gnr. 1-31</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0,8</w:t>
            </w:r>
          </w:p>
        </w:tc>
      </w:tr>
      <w:tr w:rsidR="00CA57DC">
        <w:tc>
          <w:tcPr>
            <w:tcW w:w="2741" w:type="dxa"/>
            <w:shd w:val="clear" w:color="auto" w:fill="FFFFFF"/>
          </w:tcPr>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Kvanvik, Åna-Sira</w:t>
            </w:r>
          </w:p>
          <w:p w:rsidR="00CA57DC" w:rsidRPr="001B7028" w:rsidRDefault="00CA57DC">
            <w:pPr>
              <w:autoSpaceDE w:val="0"/>
              <w:autoSpaceDN w:val="0"/>
              <w:adjustRightInd w:val="0"/>
              <w:spacing w:after="0" w:line="240" w:lineRule="auto"/>
              <w:ind w:left="120" w:right="120"/>
              <w:rPr>
                <w:rFonts w:eastAsia="Calibri" w:cs="Calibri"/>
                <w:sz w:val="28"/>
                <w:szCs w:val="28"/>
                <w:lang w:val="nb" w:eastAsia="nb" w:bidi="nb"/>
              </w:rPr>
            </w:pPr>
            <w:r w:rsidRPr="001B7028">
              <w:rPr>
                <w:rFonts w:eastAsia="Calibri" w:cs="Calibri"/>
                <w:sz w:val="28"/>
                <w:szCs w:val="28"/>
                <w:lang w:val="nb" w:eastAsia="nb" w:bidi="nb"/>
              </w:rPr>
              <w:t>Gnr. 36-60</w:t>
            </w:r>
          </w:p>
        </w:tc>
        <w:tc>
          <w:tcPr>
            <w:tcW w:w="1352" w:type="dxa"/>
            <w:shd w:val="clear" w:color="auto" w:fill="FFFFFF"/>
          </w:tcPr>
          <w:p w:rsidR="00CA57DC" w:rsidRPr="001B7028" w:rsidRDefault="00CA57DC">
            <w:pPr>
              <w:autoSpaceDE w:val="0"/>
              <w:autoSpaceDN w:val="0"/>
              <w:adjustRightInd w:val="0"/>
              <w:spacing w:after="0" w:line="240" w:lineRule="auto"/>
              <w:ind w:left="120" w:right="120"/>
              <w:jc w:val="center"/>
              <w:rPr>
                <w:rFonts w:eastAsia="Calibri" w:cs="Calibri"/>
                <w:sz w:val="28"/>
                <w:szCs w:val="28"/>
                <w:lang w:val="nb" w:eastAsia="nb" w:bidi="nb"/>
              </w:rPr>
            </w:pPr>
            <w:r w:rsidRPr="001B7028">
              <w:rPr>
                <w:rFonts w:eastAsia="Calibri" w:cs="Calibri"/>
                <w:sz w:val="28"/>
                <w:szCs w:val="28"/>
                <w:lang w:val="nb" w:eastAsia="nb" w:bidi="nb"/>
              </w:rPr>
              <w:t>0,6</w:t>
            </w:r>
          </w:p>
        </w:tc>
      </w:tr>
    </w:tbl>
    <w:p w:rsidR="00556A8E" w:rsidRPr="00A210CF" w:rsidRDefault="000407A2" w:rsidP="00556A8E">
      <w:pPr>
        <w:pStyle w:val="Brdtekst"/>
        <w:rPr>
          <w:rFonts w:asciiTheme="minorHAnsi" w:hAnsiTheme="minorHAnsi"/>
          <w:i/>
          <w:sz w:val="28"/>
          <w:szCs w:val="28"/>
        </w:rPr>
      </w:pPr>
      <w:r w:rsidRPr="00A210CF">
        <w:rPr>
          <w:rFonts w:asciiTheme="minorHAnsi" w:hAnsiTheme="minorHAnsi"/>
          <w:i/>
          <w:sz w:val="28"/>
          <w:szCs w:val="28"/>
        </w:rPr>
        <w:t>Skjønnsmessig vurdering av forhold på og omkring den enkelte eiendom</w:t>
      </w:r>
    </w:p>
    <w:p w:rsidR="000407A2" w:rsidRPr="00A210CF" w:rsidRDefault="000407A2" w:rsidP="00556A8E">
      <w:pPr>
        <w:pStyle w:val="Brdtekst"/>
        <w:rPr>
          <w:rFonts w:asciiTheme="minorHAnsi" w:hAnsiTheme="minorHAnsi"/>
          <w:sz w:val="28"/>
          <w:szCs w:val="28"/>
        </w:rPr>
      </w:pPr>
    </w:p>
    <w:p w:rsidR="000407A2" w:rsidRPr="00A210CF" w:rsidRDefault="000407A2" w:rsidP="000407A2">
      <w:pPr>
        <w:pStyle w:val="Overskrift1"/>
        <w:keepNext w:val="0"/>
        <w:keepLines w:val="0"/>
        <w:widowControl w:val="0"/>
        <w:tabs>
          <w:tab w:val="left" w:pos="824"/>
        </w:tabs>
        <w:autoSpaceDE w:val="0"/>
        <w:autoSpaceDN w:val="0"/>
        <w:spacing w:before="44" w:line="240" w:lineRule="auto"/>
        <w:rPr>
          <w:rFonts w:asciiTheme="minorHAnsi" w:hAnsiTheme="minorHAnsi"/>
          <w:sz w:val="28"/>
          <w:szCs w:val="28"/>
        </w:rPr>
      </w:pPr>
      <w:r w:rsidRPr="00A210CF">
        <w:rPr>
          <w:rFonts w:asciiTheme="minorHAnsi" w:hAnsiTheme="minorHAnsi"/>
          <w:color w:val="00AFEF"/>
          <w:sz w:val="28"/>
          <w:szCs w:val="28"/>
        </w:rPr>
        <w:t>Metode for vurdering av individuelle forhold ved</w:t>
      </w:r>
      <w:r w:rsidRPr="00A210CF">
        <w:rPr>
          <w:rFonts w:asciiTheme="minorHAnsi" w:hAnsiTheme="minorHAnsi"/>
          <w:color w:val="00AFEF"/>
          <w:spacing w:val="-12"/>
          <w:sz w:val="28"/>
          <w:szCs w:val="28"/>
        </w:rPr>
        <w:t xml:space="preserve"> </w:t>
      </w:r>
      <w:r w:rsidRPr="00A210CF">
        <w:rPr>
          <w:rFonts w:asciiTheme="minorHAnsi" w:hAnsiTheme="minorHAnsi"/>
          <w:color w:val="00AFEF"/>
          <w:sz w:val="28"/>
          <w:szCs w:val="28"/>
        </w:rPr>
        <w:t>eiendommene</w:t>
      </w:r>
    </w:p>
    <w:p w:rsidR="000407A2" w:rsidRPr="00A210CF" w:rsidRDefault="000407A2" w:rsidP="000407A2">
      <w:pPr>
        <w:pStyle w:val="Brdtekst"/>
        <w:spacing w:before="6"/>
        <w:rPr>
          <w:rFonts w:asciiTheme="minorHAnsi" w:hAnsiTheme="minorHAnsi"/>
          <w:b/>
          <w:sz w:val="28"/>
          <w:szCs w:val="28"/>
          <w:lang w:val="nb-NO"/>
        </w:rPr>
      </w:pPr>
    </w:p>
    <w:p w:rsidR="000407A2" w:rsidRPr="00A210CF" w:rsidRDefault="000407A2" w:rsidP="000407A2">
      <w:pPr>
        <w:pStyle w:val="Brdtekst"/>
        <w:spacing w:before="1" w:line="276" w:lineRule="auto"/>
        <w:ind w:right="551"/>
        <w:rPr>
          <w:rFonts w:asciiTheme="minorHAnsi" w:hAnsiTheme="minorHAnsi"/>
          <w:sz w:val="28"/>
          <w:szCs w:val="28"/>
        </w:rPr>
      </w:pPr>
      <w:r w:rsidRPr="00A210CF">
        <w:rPr>
          <w:rFonts w:asciiTheme="minorHAnsi" w:hAnsiTheme="minorHAnsi"/>
          <w:sz w:val="28"/>
          <w:szCs w:val="28"/>
        </w:rPr>
        <w:t>Med utgangspunkt i beregnet forslag til takst foretas en utvendig besiktigelse av eiendommene. Ved besiktigelsen settes forslag til faktorer for individuelle forhold på selve eiendommen og omkring eiendommen som kan tilsi at salgsverdien ligger høyere eller lavere enn beregnet forslag til takst. Eiendommene fotograferes. Om nødvendig foretas kontrollmåling av arealer.</w:t>
      </w:r>
    </w:p>
    <w:p w:rsidR="000407A2" w:rsidRPr="00A210CF" w:rsidRDefault="000407A2" w:rsidP="000407A2">
      <w:pPr>
        <w:pStyle w:val="Brdtekst"/>
        <w:rPr>
          <w:rFonts w:asciiTheme="minorHAnsi" w:hAnsiTheme="minorHAnsi"/>
          <w:sz w:val="28"/>
          <w:szCs w:val="28"/>
        </w:rPr>
      </w:pPr>
    </w:p>
    <w:p w:rsidR="000407A2" w:rsidRPr="00A210CF" w:rsidRDefault="000407A2" w:rsidP="000407A2">
      <w:pPr>
        <w:pStyle w:val="Overskrift1"/>
        <w:keepNext w:val="0"/>
        <w:keepLines w:val="0"/>
        <w:widowControl w:val="0"/>
        <w:tabs>
          <w:tab w:val="left" w:pos="824"/>
        </w:tabs>
        <w:autoSpaceDE w:val="0"/>
        <w:autoSpaceDN w:val="0"/>
        <w:spacing w:before="0" w:line="240" w:lineRule="auto"/>
        <w:rPr>
          <w:rFonts w:asciiTheme="minorHAnsi" w:hAnsiTheme="minorHAnsi"/>
          <w:sz w:val="28"/>
          <w:szCs w:val="28"/>
        </w:rPr>
      </w:pPr>
      <w:r w:rsidRPr="00A210CF">
        <w:rPr>
          <w:rFonts w:asciiTheme="minorHAnsi" w:hAnsiTheme="minorHAnsi"/>
          <w:color w:val="00AFEF"/>
          <w:sz w:val="28"/>
          <w:szCs w:val="28"/>
        </w:rPr>
        <w:t xml:space="preserve">Skjønnsmessig vurdering av forhold </w:t>
      </w:r>
      <w:r w:rsidRPr="00A210CF">
        <w:rPr>
          <w:rFonts w:asciiTheme="minorHAnsi" w:hAnsiTheme="minorHAnsi"/>
          <w:color w:val="00AFEF"/>
          <w:sz w:val="28"/>
          <w:szCs w:val="28"/>
          <w:u w:val="single" w:color="00AFEF"/>
        </w:rPr>
        <w:t>på</w:t>
      </w:r>
      <w:r w:rsidRPr="00A210CF">
        <w:rPr>
          <w:rFonts w:asciiTheme="minorHAnsi" w:hAnsiTheme="minorHAnsi"/>
          <w:color w:val="00AFEF"/>
          <w:spacing w:val="-10"/>
          <w:sz w:val="28"/>
          <w:szCs w:val="28"/>
        </w:rPr>
        <w:t xml:space="preserve"> </w:t>
      </w:r>
      <w:r w:rsidRPr="00A210CF">
        <w:rPr>
          <w:rFonts w:asciiTheme="minorHAnsi" w:hAnsiTheme="minorHAnsi"/>
          <w:color w:val="00AFEF"/>
          <w:sz w:val="28"/>
          <w:szCs w:val="28"/>
        </w:rPr>
        <w:t>eiendommen</w:t>
      </w:r>
      <w:r w:rsidR="009D2805">
        <w:rPr>
          <w:rFonts w:asciiTheme="minorHAnsi" w:hAnsiTheme="minorHAnsi"/>
          <w:color w:val="00AFEF"/>
          <w:sz w:val="28"/>
          <w:szCs w:val="28"/>
        </w:rPr>
        <w:t xml:space="preserve"> (indre forhold)</w:t>
      </w:r>
    </w:p>
    <w:p w:rsidR="000407A2" w:rsidRPr="00A210CF" w:rsidRDefault="000407A2" w:rsidP="000407A2">
      <w:pPr>
        <w:pStyle w:val="Brdtekst"/>
        <w:spacing w:before="6"/>
        <w:rPr>
          <w:rFonts w:asciiTheme="minorHAnsi" w:hAnsiTheme="minorHAnsi"/>
          <w:b/>
          <w:sz w:val="28"/>
          <w:szCs w:val="28"/>
          <w:lang w:val="nb-NO"/>
        </w:rPr>
      </w:pPr>
    </w:p>
    <w:p w:rsidR="000407A2" w:rsidRPr="00A210CF" w:rsidRDefault="000407A2" w:rsidP="000407A2">
      <w:pPr>
        <w:pStyle w:val="Brdtekst"/>
        <w:spacing w:before="52" w:line="276" w:lineRule="auto"/>
        <w:ind w:right="626"/>
        <w:rPr>
          <w:rFonts w:asciiTheme="minorHAnsi" w:hAnsiTheme="minorHAnsi"/>
          <w:sz w:val="28"/>
          <w:szCs w:val="28"/>
        </w:rPr>
      </w:pPr>
      <w:r w:rsidRPr="00A210CF">
        <w:rPr>
          <w:rFonts w:asciiTheme="minorHAnsi" w:hAnsiTheme="minorHAnsi"/>
          <w:sz w:val="28"/>
          <w:szCs w:val="28"/>
        </w:rPr>
        <w:t xml:space="preserve">Standard, vedlikehold og bygningenes alder er bygningsmessige forhold som kan påvirke eiendommens salgsverdi. Opparbeidelse av hageanlegg og parkeringsplass samt utnyttbarheten, er forhold ved tomten som kan påvirke salgsverdien. For fritidsboliger kan også forhold som vannforsyning, avløpsforhold og strømforsyning påvirke salgsverdien. Som samlebetegnelse for individuelle forhold </w:t>
      </w:r>
      <w:r w:rsidRPr="00A210CF">
        <w:rPr>
          <w:rFonts w:asciiTheme="minorHAnsi" w:hAnsiTheme="minorHAnsi"/>
          <w:sz w:val="28"/>
          <w:szCs w:val="28"/>
          <w:u w:val="single"/>
        </w:rPr>
        <w:t>på</w:t>
      </w:r>
      <w:r w:rsidRPr="00A210CF">
        <w:rPr>
          <w:rFonts w:asciiTheme="minorHAnsi" w:hAnsiTheme="minorHAnsi"/>
          <w:sz w:val="28"/>
          <w:szCs w:val="28"/>
        </w:rPr>
        <w:t xml:space="preserve"> eiendommen benyttes «standard».</w:t>
      </w:r>
    </w:p>
    <w:p w:rsidR="000407A2" w:rsidRPr="00A210CF" w:rsidRDefault="000407A2" w:rsidP="000407A2">
      <w:pPr>
        <w:pStyle w:val="Brdtekst"/>
        <w:spacing w:before="2"/>
        <w:rPr>
          <w:rFonts w:asciiTheme="minorHAnsi" w:hAnsiTheme="minorHAnsi"/>
          <w:sz w:val="28"/>
          <w:szCs w:val="28"/>
        </w:rPr>
      </w:pPr>
    </w:p>
    <w:p w:rsidR="000407A2" w:rsidRDefault="000407A2" w:rsidP="000407A2">
      <w:pPr>
        <w:pStyle w:val="Brdtekst"/>
        <w:spacing w:before="103"/>
        <w:rPr>
          <w:rFonts w:asciiTheme="minorHAnsi" w:hAnsiTheme="minorHAnsi"/>
          <w:sz w:val="28"/>
          <w:szCs w:val="28"/>
        </w:rPr>
      </w:pPr>
      <w:r w:rsidRPr="00A210CF">
        <w:rPr>
          <w:rFonts w:asciiTheme="minorHAnsi" w:hAnsiTheme="minorHAnsi"/>
          <w:sz w:val="28"/>
          <w:szCs w:val="28"/>
        </w:rPr>
        <w:t xml:space="preserve">Følgende inndeling benyttes ved taksering av både helårsboliger og fritidsboliger: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 w:type="dxa"/>
          <w:left w:w="10" w:type="dxa"/>
          <w:bottom w:w="10" w:type="dxa"/>
          <w:right w:w="10" w:type="dxa"/>
        </w:tblCellMar>
        <w:tblLook w:val="0000" w:firstRow="0" w:lastRow="0" w:firstColumn="0" w:lastColumn="0" w:noHBand="0" w:noVBand="0"/>
      </w:tblPr>
      <w:tblGrid>
        <w:gridCol w:w="5387"/>
        <w:gridCol w:w="2126"/>
      </w:tblGrid>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Meget god standard</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1,1 – 1,2</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Normal standard, 2010-2020</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1,0</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Normal standard, 2000-2009</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0,95</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Normal standard, 1990-1999</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0,9</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Normal standard, 1980-1989</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0,85</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Normal standard, 1970-1979</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0,8</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lastRenderedPageBreak/>
              <w:t>Normal standard, 1960-1969</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0,75</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Normal standard, før 1960</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0,7</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Oppgradert/renovert (tillegg)</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0,1  til   0,5</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Dårlig standard, forfall (fradrag)</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-0,1 til -0,6</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Manglende strøm, vann og avløp (fradrag)</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 xml:space="preserve">-0,1 </w:t>
            </w:r>
          </w:p>
        </w:tc>
      </w:tr>
      <w:tr w:rsidR="001B7028" w:rsidRPr="001B7028" w:rsidTr="001B7028">
        <w:tc>
          <w:tcPr>
            <w:tcW w:w="5387"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Saneringsobjekt</w:t>
            </w:r>
          </w:p>
        </w:tc>
        <w:tc>
          <w:tcPr>
            <w:tcW w:w="2126" w:type="dxa"/>
            <w:shd w:val="clear" w:color="auto" w:fill="FFFFFF"/>
          </w:tcPr>
          <w:p w:rsidR="001B7028" w:rsidRPr="001B7028" w:rsidRDefault="001B7028">
            <w:pPr>
              <w:autoSpaceDE w:val="0"/>
              <w:autoSpaceDN w:val="0"/>
              <w:adjustRightInd w:val="0"/>
              <w:spacing w:after="0" w:line="240" w:lineRule="auto"/>
              <w:ind w:left="327"/>
              <w:rPr>
                <w:rFonts w:eastAsia="Calibri" w:cs="Calibri"/>
                <w:sz w:val="28"/>
                <w:szCs w:val="28"/>
                <w:lang w:val="nb" w:eastAsia="nb" w:bidi="nb"/>
              </w:rPr>
            </w:pPr>
            <w:r w:rsidRPr="001B7028">
              <w:rPr>
                <w:rFonts w:eastAsia="Calibri" w:cs="Calibri"/>
                <w:sz w:val="28"/>
                <w:szCs w:val="28"/>
                <w:lang w:val="nb" w:eastAsia="nb" w:bidi="nb"/>
              </w:rPr>
              <w:t>0,1</w:t>
            </w:r>
          </w:p>
        </w:tc>
      </w:tr>
    </w:tbl>
    <w:p w:rsidR="001B7028" w:rsidRDefault="001B7028" w:rsidP="006634A0">
      <w:pPr>
        <w:pStyle w:val="Brdtekst"/>
        <w:rPr>
          <w:rFonts w:asciiTheme="minorHAnsi" w:hAnsiTheme="minorHAnsi"/>
          <w:sz w:val="28"/>
          <w:szCs w:val="28"/>
        </w:rPr>
      </w:pPr>
    </w:p>
    <w:p w:rsidR="006634A0" w:rsidRPr="00A210CF" w:rsidRDefault="001B7028" w:rsidP="006634A0">
      <w:pPr>
        <w:pStyle w:val="Brdtekst"/>
        <w:rPr>
          <w:rFonts w:asciiTheme="minorHAnsi" w:hAnsiTheme="minorHAnsi"/>
          <w:sz w:val="28"/>
          <w:szCs w:val="28"/>
        </w:rPr>
      </w:pPr>
      <w:r>
        <w:rPr>
          <w:rFonts w:asciiTheme="minorHAnsi" w:hAnsiTheme="minorHAnsi"/>
          <w:sz w:val="28"/>
          <w:szCs w:val="28"/>
        </w:rPr>
        <w:t>B</w:t>
      </w:r>
      <w:r w:rsidR="006634A0">
        <w:rPr>
          <w:rFonts w:asciiTheme="minorHAnsi" w:hAnsiTheme="minorHAnsi"/>
          <w:sz w:val="28"/>
          <w:szCs w:val="28"/>
        </w:rPr>
        <w:t>esiktigelsesmennene bruker faktorene fritt i forhold til skjønn.</w:t>
      </w:r>
    </w:p>
    <w:p w:rsidR="000407A2" w:rsidRPr="00A210CF" w:rsidRDefault="000407A2" w:rsidP="000407A2">
      <w:pPr>
        <w:pStyle w:val="Brdtekst"/>
        <w:rPr>
          <w:rFonts w:asciiTheme="minorHAnsi" w:hAnsiTheme="minorHAnsi"/>
          <w:sz w:val="28"/>
          <w:szCs w:val="28"/>
        </w:rPr>
      </w:pPr>
    </w:p>
    <w:p w:rsidR="000407A2" w:rsidRPr="00A210CF" w:rsidRDefault="000407A2" w:rsidP="000407A2">
      <w:pPr>
        <w:pStyle w:val="Brdtekst"/>
        <w:spacing w:before="3"/>
        <w:rPr>
          <w:rFonts w:asciiTheme="minorHAnsi" w:hAnsiTheme="minorHAnsi"/>
          <w:sz w:val="28"/>
          <w:szCs w:val="28"/>
        </w:rPr>
      </w:pPr>
    </w:p>
    <w:p w:rsidR="000407A2" w:rsidRPr="00A210CF" w:rsidRDefault="000407A2" w:rsidP="000407A2">
      <w:pPr>
        <w:pStyle w:val="Overskrift1"/>
        <w:keepNext w:val="0"/>
        <w:keepLines w:val="0"/>
        <w:widowControl w:val="0"/>
        <w:tabs>
          <w:tab w:val="left" w:pos="824"/>
        </w:tabs>
        <w:autoSpaceDE w:val="0"/>
        <w:autoSpaceDN w:val="0"/>
        <w:spacing w:before="44" w:line="240" w:lineRule="auto"/>
        <w:rPr>
          <w:rFonts w:asciiTheme="minorHAnsi" w:hAnsiTheme="minorHAnsi"/>
          <w:sz w:val="28"/>
          <w:szCs w:val="28"/>
        </w:rPr>
      </w:pPr>
      <w:r w:rsidRPr="00A210CF">
        <w:rPr>
          <w:rFonts w:asciiTheme="minorHAnsi" w:hAnsiTheme="minorHAnsi"/>
          <w:color w:val="00AFEF"/>
          <w:sz w:val="28"/>
          <w:szCs w:val="28"/>
        </w:rPr>
        <w:t xml:space="preserve">Skjønnsmessig vurdering av forhold </w:t>
      </w:r>
      <w:r w:rsidRPr="00A210CF">
        <w:rPr>
          <w:rFonts w:asciiTheme="minorHAnsi" w:hAnsiTheme="minorHAnsi"/>
          <w:color w:val="00AFEF"/>
          <w:sz w:val="28"/>
          <w:szCs w:val="28"/>
          <w:u w:val="single" w:color="00AFEF"/>
        </w:rPr>
        <w:t>omkring</w:t>
      </w:r>
      <w:r w:rsidRPr="00A210CF">
        <w:rPr>
          <w:rFonts w:asciiTheme="minorHAnsi" w:hAnsiTheme="minorHAnsi"/>
          <w:color w:val="00AFEF"/>
          <w:spacing w:val="-10"/>
          <w:sz w:val="28"/>
          <w:szCs w:val="28"/>
        </w:rPr>
        <w:t xml:space="preserve"> </w:t>
      </w:r>
      <w:r w:rsidRPr="00A210CF">
        <w:rPr>
          <w:rFonts w:asciiTheme="minorHAnsi" w:hAnsiTheme="minorHAnsi"/>
          <w:color w:val="00AFEF"/>
          <w:sz w:val="28"/>
          <w:szCs w:val="28"/>
        </w:rPr>
        <w:t>eiendommen</w:t>
      </w:r>
      <w:r w:rsidR="009D2805">
        <w:rPr>
          <w:rFonts w:asciiTheme="minorHAnsi" w:hAnsiTheme="minorHAnsi"/>
          <w:color w:val="00AFEF"/>
          <w:sz w:val="28"/>
          <w:szCs w:val="28"/>
        </w:rPr>
        <w:t xml:space="preserve"> (ytre forhold)</w:t>
      </w:r>
    </w:p>
    <w:p w:rsidR="000407A2" w:rsidRPr="00A210CF" w:rsidRDefault="000407A2" w:rsidP="000407A2">
      <w:pPr>
        <w:pStyle w:val="Brdtekst"/>
        <w:spacing w:before="6"/>
        <w:rPr>
          <w:rFonts w:asciiTheme="minorHAnsi" w:hAnsiTheme="minorHAnsi"/>
          <w:b/>
          <w:sz w:val="28"/>
          <w:szCs w:val="28"/>
          <w:lang w:val="nb-NO"/>
        </w:rPr>
      </w:pPr>
    </w:p>
    <w:p w:rsidR="000407A2" w:rsidRPr="00A210CF" w:rsidRDefault="000407A2" w:rsidP="000407A2">
      <w:pPr>
        <w:pStyle w:val="Brdtekst"/>
        <w:spacing w:before="52" w:line="276" w:lineRule="auto"/>
        <w:ind w:right="671"/>
        <w:rPr>
          <w:rFonts w:asciiTheme="minorHAnsi" w:hAnsiTheme="minorHAnsi"/>
          <w:sz w:val="28"/>
          <w:szCs w:val="28"/>
        </w:rPr>
      </w:pPr>
      <w:r w:rsidRPr="00A210CF">
        <w:rPr>
          <w:rFonts w:asciiTheme="minorHAnsi" w:hAnsiTheme="minorHAnsi"/>
          <w:sz w:val="28"/>
          <w:szCs w:val="28"/>
        </w:rPr>
        <w:t xml:space="preserve">Utsikt, støy, lysforhold, strandlinje, adkomstforhold, kraftlinjer og reguleringsmessige forhold er eksempler på forhold ved den enkelte eiendommens omgivelser som kan påvirke salgsverdien. Som samlebetegnelse for individuelle forhold </w:t>
      </w:r>
      <w:r w:rsidRPr="00A210CF">
        <w:rPr>
          <w:rFonts w:asciiTheme="minorHAnsi" w:hAnsiTheme="minorHAnsi"/>
          <w:sz w:val="28"/>
          <w:szCs w:val="28"/>
          <w:u w:val="single"/>
        </w:rPr>
        <w:t>omkring</w:t>
      </w:r>
      <w:r w:rsidRPr="00A210CF">
        <w:rPr>
          <w:rFonts w:asciiTheme="minorHAnsi" w:hAnsiTheme="minorHAnsi"/>
          <w:sz w:val="28"/>
          <w:szCs w:val="28"/>
        </w:rPr>
        <w:t xml:space="preserve"> eiendommen benyttes</w:t>
      </w:r>
    </w:p>
    <w:p w:rsidR="000407A2" w:rsidRDefault="000407A2" w:rsidP="000407A2">
      <w:pPr>
        <w:pStyle w:val="Brdtekst"/>
        <w:spacing w:line="293" w:lineRule="exact"/>
        <w:rPr>
          <w:rFonts w:asciiTheme="minorHAnsi" w:hAnsiTheme="minorHAnsi"/>
          <w:sz w:val="28"/>
          <w:szCs w:val="28"/>
        </w:rPr>
      </w:pPr>
      <w:r w:rsidRPr="00A210CF">
        <w:rPr>
          <w:rFonts w:asciiTheme="minorHAnsi" w:hAnsiTheme="minorHAnsi"/>
          <w:sz w:val="28"/>
          <w:szCs w:val="28"/>
        </w:rPr>
        <w:t>«beliggenhet».</w:t>
      </w:r>
    </w:p>
    <w:p w:rsidR="00EF0E7B" w:rsidRDefault="00EF0E7B" w:rsidP="000407A2">
      <w:pPr>
        <w:pStyle w:val="Brdtekst"/>
        <w:spacing w:line="293" w:lineRule="exact"/>
        <w:rPr>
          <w:rFonts w:asciiTheme="minorHAnsi" w:hAnsiTheme="minorHAnsi"/>
          <w:sz w:val="28"/>
          <w:szCs w:val="28"/>
        </w:rPr>
      </w:pPr>
    </w:p>
    <w:p w:rsidR="00EF0E7B" w:rsidRDefault="00EF0E7B" w:rsidP="000407A2">
      <w:pPr>
        <w:pStyle w:val="Brdtekst"/>
        <w:spacing w:line="293" w:lineRule="exact"/>
        <w:rPr>
          <w:rFonts w:asciiTheme="minorHAnsi" w:hAnsiTheme="minorHAnsi"/>
          <w:sz w:val="28"/>
          <w:szCs w:val="28"/>
        </w:rPr>
      </w:pPr>
    </w:p>
    <w:p w:rsidR="000407A2" w:rsidRDefault="000407A2" w:rsidP="000407A2">
      <w:pPr>
        <w:pStyle w:val="Brdtekst"/>
        <w:spacing w:before="3"/>
        <w:rPr>
          <w:rFonts w:asciiTheme="minorHAnsi" w:hAnsiTheme="minorHAnsi"/>
          <w:sz w:val="28"/>
          <w:szCs w:val="28"/>
        </w:rPr>
      </w:pPr>
      <w:r w:rsidRPr="00A210CF">
        <w:rPr>
          <w:rFonts w:asciiTheme="minorHAnsi" w:hAnsiTheme="minorHAnsi"/>
          <w:sz w:val="28"/>
          <w:szCs w:val="28"/>
        </w:rPr>
        <w:t xml:space="preserve">Følgende inndeling benyttes ved taksering av både helårsboliger og fritidsboliger: </w:t>
      </w:r>
    </w:p>
    <w:p w:rsidR="00FF1216" w:rsidRPr="00FB7658" w:rsidRDefault="00FF1216" w:rsidP="000407A2">
      <w:pPr>
        <w:pStyle w:val="Brdtekst"/>
        <w:spacing w:before="3"/>
        <w:rPr>
          <w:rFonts w:asciiTheme="minorHAnsi" w:hAnsiTheme="minorHAnsi"/>
          <w:color w:val="FF0000"/>
          <w:sz w:val="28"/>
          <w:szCs w:val="28"/>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3402"/>
      </w:tblGrid>
      <w:tr w:rsidR="00FB7658" w:rsidRPr="00FF1216" w:rsidTr="00CA57DC">
        <w:trPr>
          <w:trHeight w:val="335"/>
        </w:trPr>
        <w:tc>
          <w:tcPr>
            <w:tcW w:w="3371" w:type="dxa"/>
          </w:tcPr>
          <w:p w:rsidR="000407A2" w:rsidRPr="00FF1216" w:rsidRDefault="009D2805" w:rsidP="009D2805">
            <w:pPr>
              <w:pStyle w:val="TableParagraph"/>
              <w:spacing w:line="292" w:lineRule="exact"/>
              <w:rPr>
                <w:rFonts w:asciiTheme="minorHAnsi" w:hAnsiTheme="minorHAnsi"/>
                <w:sz w:val="28"/>
                <w:szCs w:val="28"/>
              </w:rPr>
            </w:pPr>
            <w:r w:rsidRPr="00FF1216">
              <w:rPr>
                <w:rFonts w:asciiTheme="minorHAnsi" w:hAnsiTheme="minorHAnsi"/>
                <w:sz w:val="28"/>
                <w:szCs w:val="28"/>
              </w:rPr>
              <w:t>Meget g</w:t>
            </w:r>
            <w:r w:rsidR="000407A2" w:rsidRPr="00FF1216">
              <w:rPr>
                <w:rFonts w:asciiTheme="minorHAnsi" w:hAnsiTheme="minorHAnsi"/>
                <w:sz w:val="28"/>
                <w:szCs w:val="28"/>
              </w:rPr>
              <w:t>od beliggenhet</w:t>
            </w:r>
          </w:p>
        </w:tc>
        <w:tc>
          <w:tcPr>
            <w:tcW w:w="3402" w:type="dxa"/>
          </w:tcPr>
          <w:p w:rsidR="000407A2" w:rsidRPr="00FF1216" w:rsidRDefault="000407A2" w:rsidP="00CA57DC">
            <w:pPr>
              <w:pStyle w:val="TableParagraph"/>
              <w:spacing w:line="292" w:lineRule="exact"/>
              <w:ind w:left="217"/>
              <w:rPr>
                <w:rFonts w:asciiTheme="minorHAnsi" w:hAnsiTheme="minorHAnsi"/>
                <w:sz w:val="28"/>
                <w:szCs w:val="28"/>
              </w:rPr>
            </w:pPr>
            <w:r w:rsidRPr="00FF1216">
              <w:rPr>
                <w:rFonts w:asciiTheme="minorHAnsi" w:hAnsiTheme="minorHAnsi"/>
                <w:sz w:val="28"/>
                <w:szCs w:val="28"/>
              </w:rPr>
              <w:t>1,</w:t>
            </w:r>
            <w:r w:rsidR="006634A0" w:rsidRPr="00FF1216">
              <w:rPr>
                <w:rFonts w:asciiTheme="minorHAnsi" w:hAnsiTheme="minorHAnsi"/>
                <w:sz w:val="28"/>
                <w:szCs w:val="28"/>
              </w:rPr>
              <w:t>2</w:t>
            </w:r>
          </w:p>
        </w:tc>
      </w:tr>
      <w:tr w:rsidR="00FB7658" w:rsidRPr="00FF1216" w:rsidTr="00CA57DC">
        <w:trPr>
          <w:trHeight w:val="338"/>
        </w:trPr>
        <w:tc>
          <w:tcPr>
            <w:tcW w:w="3371" w:type="dxa"/>
          </w:tcPr>
          <w:p w:rsidR="000407A2" w:rsidRPr="00FF1216" w:rsidRDefault="009D2805" w:rsidP="00CA57DC">
            <w:pPr>
              <w:pStyle w:val="TableParagraph"/>
              <w:spacing w:line="292" w:lineRule="exact"/>
              <w:rPr>
                <w:rFonts w:asciiTheme="minorHAnsi" w:hAnsiTheme="minorHAnsi"/>
                <w:sz w:val="28"/>
                <w:szCs w:val="28"/>
              </w:rPr>
            </w:pPr>
            <w:r w:rsidRPr="00FF1216">
              <w:rPr>
                <w:rFonts w:asciiTheme="minorHAnsi" w:hAnsiTheme="minorHAnsi"/>
                <w:sz w:val="28"/>
                <w:szCs w:val="28"/>
              </w:rPr>
              <w:t>God</w:t>
            </w:r>
            <w:r w:rsidR="000407A2" w:rsidRPr="00FF1216">
              <w:rPr>
                <w:rFonts w:asciiTheme="minorHAnsi" w:hAnsiTheme="minorHAnsi"/>
                <w:sz w:val="28"/>
                <w:szCs w:val="28"/>
              </w:rPr>
              <w:t xml:space="preserve"> beliggenhet</w:t>
            </w:r>
          </w:p>
        </w:tc>
        <w:tc>
          <w:tcPr>
            <w:tcW w:w="3402" w:type="dxa"/>
          </w:tcPr>
          <w:p w:rsidR="000407A2" w:rsidRPr="00FF1216" w:rsidRDefault="000407A2" w:rsidP="00CA57DC">
            <w:pPr>
              <w:pStyle w:val="TableParagraph"/>
              <w:spacing w:line="292" w:lineRule="exact"/>
              <w:ind w:left="217"/>
              <w:rPr>
                <w:rFonts w:asciiTheme="minorHAnsi" w:hAnsiTheme="minorHAnsi"/>
                <w:sz w:val="28"/>
                <w:szCs w:val="28"/>
              </w:rPr>
            </w:pPr>
            <w:r w:rsidRPr="00FF1216">
              <w:rPr>
                <w:rFonts w:asciiTheme="minorHAnsi" w:hAnsiTheme="minorHAnsi"/>
                <w:sz w:val="28"/>
                <w:szCs w:val="28"/>
              </w:rPr>
              <w:t>1,</w:t>
            </w:r>
            <w:r w:rsidR="006634A0" w:rsidRPr="00FF1216">
              <w:rPr>
                <w:rFonts w:asciiTheme="minorHAnsi" w:hAnsiTheme="minorHAnsi"/>
                <w:sz w:val="28"/>
                <w:szCs w:val="28"/>
              </w:rPr>
              <w:t>1</w:t>
            </w:r>
          </w:p>
        </w:tc>
      </w:tr>
      <w:tr w:rsidR="00FB7658" w:rsidRPr="00FF1216" w:rsidTr="00CA57DC">
        <w:trPr>
          <w:trHeight w:val="335"/>
        </w:trPr>
        <w:tc>
          <w:tcPr>
            <w:tcW w:w="3371" w:type="dxa"/>
          </w:tcPr>
          <w:p w:rsidR="000407A2" w:rsidRPr="00FF1216" w:rsidRDefault="009D2805" w:rsidP="00CA57DC">
            <w:pPr>
              <w:pStyle w:val="TableParagraph"/>
              <w:spacing w:line="292" w:lineRule="exact"/>
              <w:rPr>
                <w:rFonts w:asciiTheme="minorHAnsi" w:hAnsiTheme="minorHAnsi"/>
                <w:sz w:val="28"/>
                <w:szCs w:val="28"/>
              </w:rPr>
            </w:pPr>
            <w:r w:rsidRPr="00FF1216">
              <w:rPr>
                <w:rFonts w:asciiTheme="minorHAnsi" w:hAnsiTheme="minorHAnsi"/>
                <w:sz w:val="28"/>
                <w:szCs w:val="28"/>
              </w:rPr>
              <w:t>Normal beliggenhet</w:t>
            </w:r>
          </w:p>
        </w:tc>
        <w:tc>
          <w:tcPr>
            <w:tcW w:w="3402" w:type="dxa"/>
          </w:tcPr>
          <w:p w:rsidR="000407A2" w:rsidRPr="00FF1216" w:rsidRDefault="006634A0" w:rsidP="00CA57DC">
            <w:pPr>
              <w:pStyle w:val="TableParagraph"/>
              <w:spacing w:line="292" w:lineRule="exact"/>
              <w:ind w:left="217"/>
              <w:rPr>
                <w:rFonts w:asciiTheme="minorHAnsi" w:hAnsiTheme="minorHAnsi"/>
                <w:sz w:val="28"/>
                <w:szCs w:val="28"/>
              </w:rPr>
            </w:pPr>
            <w:r w:rsidRPr="00FF1216">
              <w:rPr>
                <w:rFonts w:asciiTheme="minorHAnsi" w:hAnsiTheme="minorHAnsi"/>
                <w:sz w:val="28"/>
                <w:szCs w:val="28"/>
              </w:rPr>
              <w:t>1,0</w:t>
            </w:r>
          </w:p>
        </w:tc>
      </w:tr>
      <w:tr w:rsidR="00FB7658" w:rsidRPr="00FF1216" w:rsidTr="00CA57DC">
        <w:trPr>
          <w:trHeight w:val="335"/>
        </w:trPr>
        <w:tc>
          <w:tcPr>
            <w:tcW w:w="3371" w:type="dxa"/>
          </w:tcPr>
          <w:p w:rsidR="009D2805" w:rsidRPr="00FF1216" w:rsidRDefault="009D2805" w:rsidP="00CA57DC">
            <w:pPr>
              <w:pStyle w:val="TableParagraph"/>
              <w:spacing w:line="292" w:lineRule="exact"/>
              <w:rPr>
                <w:rFonts w:asciiTheme="minorHAnsi" w:hAnsiTheme="minorHAnsi"/>
                <w:sz w:val="28"/>
                <w:szCs w:val="28"/>
              </w:rPr>
            </w:pPr>
            <w:r w:rsidRPr="00FF1216">
              <w:rPr>
                <w:rFonts w:asciiTheme="minorHAnsi" w:hAnsiTheme="minorHAnsi"/>
                <w:sz w:val="28"/>
                <w:szCs w:val="28"/>
              </w:rPr>
              <w:t>Mindre god beliggenhet</w:t>
            </w:r>
          </w:p>
        </w:tc>
        <w:tc>
          <w:tcPr>
            <w:tcW w:w="3402" w:type="dxa"/>
          </w:tcPr>
          <w:p w:rsidR="009D2805" w:rsidRPr="00FF1216" w:rsidRDefault="006634A0" w:rsidP="00CA57DC">
            <w:pPr>
              <w:pStyle w:val="TableParagraph"/>
              <w:spacing w:line="292" w:lineRule="exact"/>
              <w:ind w:left="217"/>
              <w:rPr>
                <w:rFonts w:asciiTheme="minorHAnsi" w:hAnsiTheme="minorHAnsi"/>
                <w:sz w:val="28"/>
                <w:szCs w:val="28"/>
              </w:rPr>
            </w:pPr>
            <w:r w:rsidRPr="00FF1216">
              <w:rPr>
                <w:rFonts w:asciiTheme="minorHAnsi" w:hAnsiTheme="minorHAnsi"/>
                <w:sz w:val="28"/>
                <w:szCs w:val="28"/>
              </w:rPr>
              <w:t>0,9</w:t>
            </w:r>
          </w:p>
        </w:tc>
      </w:tr>
      <w:tr w:rsidR="00FB7658" w:rsidRPr="00FF1216" w:rsidTr="00CA57DC">
        <w:trPr>
          <w:trHeight w:val="338"/>
        </w:trPr>
        <w:tc>
          <w:tcPr>
            <w:tcW w:w="3371" w:type="dxa"/>
          </w:tcPr>
          <w:p w:rsidR="009D2805" w:rsidRPr="00FF1216" w:rsidRDefault="009D2805" w:rsidP="00CA57DC">
            <w:pPr>
              <w:pStyle w:val="TableParagraph"/>
              <w:spacing w:line="292" w:lineRule="exact"/>
              <w:rPr>
                <w:rFonts w:asciiTheme="minorHAnsi" w:hAnsiTheme="minorHAnsi"/>
                <w:sz w:val="28"/>
                <w:szCs w:val="28"/>
              </w:rPr>
            </w:pPr>
            <w:r w:rsidRPr="00FF1216">
              <w:rPr>
                <w:rFonts w:asciiTheme="minorHAnsi" w:hAnsiTheme="minorHAnsi"/>
                <w:sz w:val="28"/>
                <w:szCs w:val="28"/>
              </w:rPr>
              <w:t>Dårlig beliggenhet</w:t>
            </w:r>
          </w:p>
        </w:tc>
        <w:tc>
          <w:tcPr>
            <w:tcW w:w="3402" w:type="dxa"/>
          </w:tcPr>
          <w:p w:rsidR="009D2805" w:rsidRPr="00FF1216" w:rsidRDefault="006634A0" w:rsidP="00CA57DC">
            <w:pPr>
              <w:pStyle w:val="TableParagraph"/>
              <w:spacing w:line="292" w:lineRule="exact"/>
              <w:ind w:left="217"/>
              <w:rPr>
                <w:rFonts w:asciiTheme="minorHAnsi" w:hAnsiTheme="minorHAnsi"/>
                <w:sz w:val="28"/>
                <w:szCs w:val="28"/>
              </w:rPr>
            </w:pPr>
            <w:r w:rsidRPr="00FF1216">
              <w:rPr>
                <w:rFonts w:asciiTheme="minorHAnsi" w:hAnsiTheme="minorHAnsi"/>
                <w:sz w:val="28"/>
                <w:szCs w:val="28"/>
              </w:rPr>
              <w:t>0,8</w:t>
            </w:r>
          </w:p>
        </w:tc>
      </w:tr>
      <w:tr w:rsidR="00FB7658" w:rsidRPr="00FF1216" w:rsidTr="00CA57DC">
        <w:trPr>
          <w:trHeight w:val="335"/>
        </w:trPr>
        <w:tc>
          <w:tcPr>
            <w:tcW w:w="3371" w:type="dxa"/>
          </w:tcPr>
          <w:p w:rsidR="009D2805" w:rsidRPr="00FF1216" w:rsidRDefault="009D2805" w:rsidP="00CA57DC">
            <w:pPr>
              <w:pStyle w:val="TableParagraph"/>
              <w:spacing w:line="292" w:lineRule="exact"/>
              <w:rPr>
                <w:rFonts w:asciiTheme="minorHAnsi" w:hAnsiTheme="minorHAnsi"/>
                <w:sz w:val="28"/>
                <w:szCs w:val="28"/>
              </w:rPr>
            </w:pPr>
            <w:r w:rsidRPr="00FF1216">
              <w:rPr>
                <w:rFonts w:asciiTheme="minorHAnsi" w:hAnsiTheme="minorHAnsi"/>
                <w:sz w:val="28"/>
                <w:szCs w:val="28"/>
              </w:rPr>
              <w:t>Dårlig adkomst/tilgjengelighet</w:t>
            </w:r>
          </w:p>
        </w:tc>
        <w:tc>
          <w:tcPr>
            <w:tcW w:w="3402" w:type="dxa"/>
          </w:tcPr>
          <w:p w:rsidR="009D2805" w:rsidRPr="00FF1216" w:rsidRDefault="006634A0" w:rsidP="00CA57DC">
            <w:pPr>
              <w:pStyle w:val="TableParagraph"/>
              <w:spacing w:line="292" w:lineRule="exact"/>
              <w:ind w:left="217"/>
              <w:rPr>
                <w:rFonts w:asciiTheme="minorHAnsi" w:hAnsiTheme="minorHAnsi"/>
                <w:sz w:val="28"/>
                <w:szCs w:val="28"/>
              </w:rPr>
            </w:pPr>
            <w:r w:rsidRPr="00FF1216">
              <w:rPr>
                <w:rFonts w:asciiTheme="minorHAnsi" w:hAnsiTheme="minorHAnsi"/>
                <w:sz w:val="28"/>
                <w:szCs w:val="28"/>
              </w:rPr>
              <w:t>Fratrekk 0,1</w:t>
            </w:r>
          </w:p>
        </w:tc>
      </w:tr>
      <w:tr w:rsidR="009D2805" w:rsidRPr="00FF1216" w:rsidTr="00CA57DC">
        <w:trPr>
          <w:trHeight w:val="335"/>
        </w:trPr>
        <w:tc>
          <w:tcPr>
            <w:tcW w:w="3371" w:type="dxa"/>
          </w:tcPr>
          <w:p w:rsidR="009D2805" w:rsidRPr="00FF1216" w:rsidRDefault="00504ACD" w:rsidP="00CA57DC">
            <w:pPr>
              <w:pStyle w:val="TableParagraph"/>
              <w:spacing w:line="292" w:lineRule="exact"/>
              <w:rPr>
                <w:rFonts w:asciiTheme="minorHAnsi" w:hAnsiTheme="minorHAnsi"/>
                <w:sz w:val="28"/>
                <w:szCs w:val="28"/>
              </w:rPr>
            </w:pPr>
            <w:r w:rsidRPr="00FF1216">
              <w:rPr>
                <w:rFonts w:asciiTheme="minorHAnsi" w:hAnsiTheme="minorHAnsi"/>
                <w:sz w:val="28"/>
                <w:szCs w:val="28"/>
              </w:rPr>
              <w:t>Forurensning</w:t>
            </w:r>
          </w:p>
        </w:tc>
        <w:tc>
          <w:tcPr>
            <w:tcW w:w="3402" w:type="dxa"/>
          </w:tcPr>
          <w:p w:rsidR="009D2805" w:rsidRPr="00FF1216" w:rsidRDefault="006634A0" w:rsidP="00CA57DC">
            <w:pPr>
              <w:pStyle w:val="TableParagraph"/>
              <w:spacing w:line="292" w:lineRule="exact"/>
              <w:ind w:left="217"/>
              <w:rPr>
                <w:rFonts w:asciiTheme="minorHAnsi" w:hAnsiTheme="minorHAnsi"/>
                <w:sz w:val="28"/>
                <w:szCs w:val="28"/>
              </w:rPr>
            </w:pPr>
            <w:r w:rsidRPr="00FF1216">
              <w:rPr>
                <w:rFonts w:asciiTheme="minorHAnsi" w:hAnsiTheme="minorHAnsi"/>
                <w:sz w:val="28"/>
                <w:szCs w:val="28"/>
              </w:rPr>
              <w:t>Fratrekk 0,1</w:t>
            </w:r>
          </w:p>
        </w:tc>
      </w:tr>
    </w:tbl>
    <w:p w:rsidR="000407A2" w:rsidRPr="00FB7658" w:rsidRDefault="000407A2" w:rsidP="000407A2">
      <w:pPr>
        <w:pStyle w:val="Brdtekst"/>
        <w:rPr>
          <w:rFonts w:asciiTheme="minorHAnsi" w:hAnsiTheme="minorHAnsi"/>
          <w:color w:val="FF0000"/>
          <w:sz w:val="28"/>
          <w:szCs w:val="28"/>
        </w:rPr>
      </w:pPr>
    </w:p>
    <w:p w:rsidR="00FF1216" w:rsidRPr="00A210CF" w:rsidRDefault="00FF1216" w:rsidP="00FF1216">
      <w:pPr>
        <w:pStyle w:val="Brdtekst"/>
        <w:rPr>
          <w:rFonts w:asciiTheme="minorHAnsi" w:hAnsiTheme="minorHAnsi"/>
          <w:sz w:val="28"/>
          <w:szCs w:val="28"/>
        </w:rPr>
      </w:pPr>
      <w:r>
        <w:rPr>
          <w:rFonts w:asciiTheme="minorHAnsi" w:hAnsiTheme="minorHAnsi"/>
          <w:sz w:val="28"/>
          <w:szCs w:val="28"/>
        </w:rPr>
        <w:t>Besiktigelsesmennene bruker faktorene fritt i forhold til skjønn.</w:t>
      </w:r>
    </w:p>
    <w:p w:rsidR="00FF1216" w:rsidRPr="00FB7658" w:rsidRDefault="00FF1216" w:rsidP="00FF1216">
      <w:pPr>
        <w:pStyle w:val="Brdtekst"/>
        <w:spacing w:before="3"/>
        <w:rPr>
          <w:rFonts w:asciiTheme="minorHAnsi" w:hAnsiTheme="minorHAnsi"/>
          <w:color w:val="FF0000"/>
          <w:sz w:val="28"/>
          <w:szCs w:val="28"/>
        </w:rPr>
      </w:pPr>
    </w:p>
    <w:p w:rsidR="000407A2" w:rsidRPr="00A210CF" w:rsidRDefault="000407A2" w:rsidP="000407A2">
      <w:pPr>
        <w:pStyle w:val="Brdtekst"/>
        <w:rPr>
          <w:rFonts w:asciiTheme="minorHAnsi" w:hAnsiTheme="minorHAnsi"/>
          <w:sz w:val="28"/>
          <w:szCs w:val="28"/>
        </w:rPr>
      </w:pPr>
    </w:p>
    <w:p w:rsidR="000407A2" w:rsidRPr="00A210CF" w:rsidRDefault="000407A2" w:rsidP="000407A2">
      <w:pPr>
        <w:pStyle w:val="Overskrift1"/>
        <w:keepNext w:val="0"/>
        <w:keepLines w:val="0"/>
        <w:widowControl w:val="0"/>
        <w:tabs>
          <w:tab w:val="left" w:pos="824"/>
        </w:tabs>
        <w:autoSpaceDE w:val="0"/>
        <w:autoSpaceDN w:val="0"/>
        <w:spacing w:before="192" w:line="240" w:lineRule="auto"/>
        <w:rPr>
          <w:rFonts w:asciiTheme="minorHAnsi" w:hAnsiTheme="minorHAnsi"/>
          <w:sz w:val="28"/>
          <w:szCs w:val="28"/>
        </w:rPr>
      </w:pPr>
      <w:r w:rsidRPr="00A210CF">
        <w:rPr>
          <w:rFonts w:asciiTheme="minorHAnsi" w:hAnsiTheme="minorHAnsi"/>
          <w:color w:val="00AFEF"/>
          <w:sz w:val="28"/>
          <w:szCs w:val="28"/>
        </w:rPr>
        <w:t>Forslag til takst korrigert for standard og</w:t>
      </w:r>
      <w:r w:rsidRPr="00A210CF">
        <w:rPr>
          <w:rFonts w:asciiTheme="minorHAnsi" w:hAnsiTheme="minorHAnsi"/>
          <w:color w:val="00AFEF"/>
          <w:spacing w:val="-13"/>
          <w:sz w:val="28"/>
          <w:szCs w:val="28"/>
        </w:rPr>
        <w:t xml:space="preserve"> </w:t>
      </w:r>
      <w:r w:rsidRPr="00A210CF">
        <w:rPr>
          <w:rFonts w:asciiTheme="minorHAnsi" w:hAnsiTheme="minorHAnsi"/>
          <w:color w:val="00AFEF"/>
          <w:sz w:val="28"/>
          <w:szCs w:val="28"/>
        </w:rPr>
        <w:t>beliggenhet</w:t>
      </w:r>
    </w:p>
    <w:p w:rsidR="000407A2" w:rsidRPr="00A210CF" w:rsidRDefault="000407A2" w:rsidP="000407A2">
      <w:pPr>
        <w:pStyle w:val="Brdtekst"/>
        <w:spacing w:before="9"/>
        <w:rPr>
          <w:rFonts w:asciiTheme="minorHAnsi" w:hAnsiTheme="minorHAnsi"/>
          <w:b/>
          <w:sz w:val="28"/>
          <w:szCs w:val="28"/>
          <w:lang w:val="nb-NO"/>
        </w:rPr>
      </w:pPr>
    </w:p>
    <w:p w:rsidR="000407A2" w:rsidRPr="00A210CF" w:rsidRDefault="000407A2" w:rsidP="000407A2">
      <w:pPr>
        <w:pStyle w:val="Brdtekst"/>
        <w:rPr>
          <w:rFonts w:asciiTheme="minorHAnsi" w:hAnsiTheme="minorHAnsi"/>
          <w:sz w:val="28"/>
          <w:szCs w:val="28"/>
        </w:rPr>
      </w:pPr>
      <w:r w:rsidRPr="00A210CF">
        <w:rPr>
          <w:rFonts w:asciiTheme="minorHAnsi" w:hAnsiTheme="minorHAnsi"/>
          <w:sz w:val="28"/>
          <w:szCs w:val="28"/>
        </w:rPr>
        <w:t>Beløpet hver faktor utgjør, beregnes av foreløpig beregnet takst.</w:t>
      </w:r>
    </w:p>
    <w:p w:rsidR="00A210CF" w:rsidRPr="00A210CF" w:rsidRDefault="00A210CF" w:rsidP="000407A2">
      <w:pPr>
        <w:pStyle w:val="Brdtekst"/>
        <w:rPr>
          <w:rFonts w:asciiTheme="minorHAnsi" w:hAnsiTheme="minorHAnsi"/>
          <w:sz w:val="28"/>
          <w:szCs w:val="28"/>
        </w:rPr>
      </w:pPr>
    </w:p>
    <w:p w:rsidR="00A210CF" w:rsidRPr="00A210CF" w:rsidRDefault="00A210CF" w:rsidP="000407A2">
      <w:pPr>
        <w:pStyle w:val="Brdtekst"/>
        <w:rPr>
          <w:rFonts w:asciiTheme="minorHAnsi" w:hAnsiTheme="minorHAnsi"/>
          <w:i/>
          <w:sz w:val="28"/>
          <w:szCs w:val="28"/>
        </w:rPr>
      </w:pPr>
      <w:r w:rsidRPr="00A210CF">
        <w:rPr>
          <w:rFonts w:asciiTheme="minorHAnsi" w:hAnsiTheme="minorHAnsi"/>
          <w:i/>
          <w:sz w:val="28"/>
          <w:szCs w:val="28"/>
        </w:rPr>
        <w:t>Sakkyndig nemnds takstvedtak</w:t>
      </w:r>
    </w:p>
    <w:p w:rsidR="00A210CF" w:rsidRPr="00A210CF" w:rsidRDefault="00A210CF" w:rsidP="000407A2">
      <w:pPr>
        <w:pStyle w:val="Brdtekst"/>
        <w:rPr>
          <w:rFonts w:asciiTheme="minorHAnsi" w:hAnsiTheme="minorHAnsi"/>
          <w:sz w:val="28"/>
          <w:szCs w:val="28"/>
        </w:rPr>
      </w:pPr>
    </w:p>
    <w:p w:rsidR="00A210CF" w:rsidRPr="00A210CF" w:rsidRDefault="00A210CF" w:rsidP="00A210CF">
      <w:pPr>
        <w:pStyle w:val="Brdtekst"/>
        <w:spacing w:line="278" w:lineRule="auto"/>
        <w:ind w:right="1087"/>
        <w:rPr>
          <w:rFonts w:asciiTheme="minorHAnsi" w:hAnsiTheme="minorHAnsi"/>
          <w:sz w:val="28"/>
          <w:szCs w:val="28"/>
          <w:vertAlign w:val="superscript"/>
        </w:rPr>
      </w:pPr>
      <w:r w:rsidRPr="00A210CF">
        <w:rPr>
          <w:rFonts w:asciiTheme="minorHAnsi" w:hAnsiTheme="minorHAnsi"/>
          <w:sz w:val="28"/>
          <w:szCs w:val="28"/>
        </w:rPr>
        <w:t>Sakkyndig nemnd fastsetter takstvedtak for den enkelte eiendom ut fra en vurdering av forslag til takst, fotografier av eiendommen og besiktigernes forslag til faktorsetting.</w:t>
      </w:r>
    </w:p>
    <w:p w:rsidR="00A210CF" w:rsidRPr="00A210CF" w:rsidRDefault="00A210CF" w:rsidP="00A210CF">
      <w:pPr>
        <w:pStyle w:val="Brdtekst"/>
        <w:spacing w:line="278" w:lineRule="auto"/>
        <w:ind w:right="1087"/>
        <w:rPr>
          <w:rFonts w:asciiTheme="minorHAnsi" w:hAnsiTheme="minorHAnsi"/>
          <w:sz w:val="28"/>
          <w:szCs w:val="28"/>
          <w:vertAlign w:val="superscript"/>
        </w:rPr>
      </w:pPr>
    </w:p>
    <w:p w:rsidR="00A210CF" w:rsidRDefault="00A210CF" w:rsidP="00A210CF">
      <w:pPr>
        <w:pStyle w:val="Brdtekst"/>
        <w:spacing w:line="278" w:lineRule="auto"/>
        <w:ind w:right="1087"/>
        <w:rPr>
          <w:rFonts w:asciiTheme="minorHAnsi" w:hAnsiTheme="minorHAnsi"/>
          <w:i/>
          <w:sz w:val="28"/>
          <w:szCs w:val="28"/>
        </w:rPr>
      </w:pPr>
      <w:r w:rsidRPr="00A210CF">
        <w:rPr>
          <w:rFonts w:asciiTheme="minorHAnsi" w:hAnsiTheme="minorHAnsi"/>
          <w:i/>
          <w:sz w:val="28"/>
          <w:szCs w:val="28"/>
        </w:rPr>
        <w:t>Sonekart</w:t>
      </w:r>
    </w:p>
    <w:p w:rsidR="00FF1216" w:rsidRDefault="00FF1216" w:rsidP="00FF1216">
      <w:pPr>
        <w:pStyle w:val="Brdtekst"/>
        <w:rPr>
          <w:rFonts w:asciiTheme="minorHAnsi" w:hAnsiTheme="minorHAnsi"/>
          <w:sz w:val="28"/>
          <w:szCs w:val="28"/>
        </w:rPr>
      </w:pPr>
      <w:r>
        <w:rPr>
          <w:rFonts w:asciiTheme="minorHAnsi" w:hAnsiTheme="minorHAnsi"/>
          <w:sz w:val="28"/>
          <w:szCs w:val="28"/>
        </w:rPr>
        <w:t xml:space="preserve">Sonekart er utarbeidet. </w:t>
      </w:r>
    </w:p>
    <w:p w:rsidR="002D4595" w:rsidRPr="00A210CF" w:rsidRDefault="00A210CF" w:rsidP="00A210CF">
      <w:pPr>
        <w:pStyle w:val="Brdtekst"/>
        <w:rPr>
          <w:rFonts w:asciiTheme="minorHAnsi" w:hAnsiTheme="minorHAnsi"/>
          <w:sz w:val="28"/>
          <w:szCs w:val="28"/>
        </w:rPr>
      </w:pPr>
      <w:r w:rsidRPr="00A210CF">
        <w:rPr>
          <w:rFonts w:asciiTheme="minorHAnsi" w:hAnsiTheme="minorHAnsi"/>
          <w:sz w:val="28"/>
          <w:szCs w:val="28"/>
        </w:rPr>
        <w:t xml:space="preserve">Lenke til </w:t>
      </w:r>
      <w:r w:rsidR="00FF1216">
        <w:rPr>
          <w:rFonts w:asciiTheme="minorHAnsi" w:hAnsiTheme="minorHAnsi"/>
          <w:sz w:val="28"/>
          <w:szCs w:val="28"/>
        </w:rPr>
        <w:t xml:space="preserve">kommunens nettsider: </w:t>
      </w:r>
      <w:hyperlink r:id="rId8" w:history="1">
        <w:r w:rsidR="00FF1216" w:rsidRPr="00CD2D97">
          <w:rPr>
            <w:rStyle w:val="Hyperkobling"/>
            <w:rFonts w:asciiTheme="minorHAnsi" w:hAnsiTheme="minorHAnsi"/>
            <w:sz w:val="28"/>
            <w:szCs w:val="28"/>
          </w:rPr>
          <w:t>www.Flekkefjord.kommune.no</w:t>
        </w:r>
      </w:hyperlink>
    </w:p>
    <w:sectPr w:rsidR="002D4595" w:rsidRPr="00A210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12" w:rsidRDefault="00397212" w:rsidP="00CA57DC">
      <w:pPr>
        <w:spacing w:after="0" w:line="240" w:lineRule="auto"/>
      </w:pPr>
      <w:r>
        <w:separator/>
      </w:r>
    </w:p>
  </w:endnote>
  <w:endnote w:type="continuationSeparator" w:id="0">
    <w:p w:rsidR="00397212" w:rsidRDefault="00397212" w:rsidP="00CA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3157"/>
      <w:docPartObj>
        <w:docPartGallery w:val="Page Numbers (Bottom of Page)"/>
        <w:docPartUnique/>
      </w:docPartObj>
    </w:sdtPr>
    <w:sdtEndPr/>
    <w:sdtContent>
      <w:p w:rsidR="003200B7" w:rsidRDefault="003200B7" w:rsidP="003200B7">
        <w:pPr>
          <w:pStyle w:val="Bunntekst"/>
          <w:jc w:val="center"/>
        </w:pPr>
        <w:r>
          <w:fldChar w:fldCharType="begin"/>
        </w:r>
        <w:r>
          <w:instrText>PAGE   \* MERGEFORMAT</w:instrText>
        </w:r>
        <w:r>
          <w:fldChar w:fldCharType="separate"/>
        </w:r>
        <w:r w:rsidR="00FC3A66">
          <w:rPr>
            <w:noProof/>
          </w:rPr>
          <w:t>4</w:t>
        </w:r>
        <w:r>
          <w:fldChar w:fldCharType="end"/>
        </w:r>
      </w:p>
    </w:sdtContent>
  </w:sdt>
  <w:p w:rsidR="00CA57DC" w:rsidRDefault="00CA57DC" w:rsidP="00CA57DC">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12" w:rsidRDefault="00397212" w:rsidP="00CA57DC">
      <w:pPr>
        <w:spacing w:after="0" w:line="240" w:lineRule="auto"/>
      </w:pPr>
      <w:r>
        <w:separator/>
      </w:r>
    </w:p>
  </w:footnote>
  <w:footnote w:type="continuationSeparator" w:id="0">
    <w:p w:rsidR="00397212" w:rsidRDefault="00397212" w:rsidP="00CA5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271"/>
    <w:multiLevelType w:val="hybridMultilevel"/>
    <w:tmpl w:val="44DE6A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CF60E0"/>
    <w:multiLevelType w:val="multilevel"/>
    <w:tmpl w:val="5526078E"/>
    <w:lvl w:ilvl="0">
      <w:start w:val="2"/>
      <w:numFmt w:val="decimal"/>
      <w:lvlText w:val="%1"/>
      <w:lvlJc w:val="left"/>
      <w:pPr>
        <w:ind w:left="823" w:hanging="548"/>
      </w:pPr>
      <w:rPr>
        <w:rFonts w:hint="default"/>
        <w:lang w:val="nb" w:eastAsia="nb" w:bidi="nb"/>
      </w:rPr>
    </w:lvl>
    <w:lvl w:ilvl="1">
      <w:start w:val="1"/>
      <w:numFmt w:val="decimal"/>
      <w:lvlText w:val="%1.%2"/>
      <w:lvlJc w:val="left"/>
      <w:pPr>
        <w:ind w:left="823" w:hanging="548"/>
      </w:pPr>
      <w:rPr>
        <w:rFonts w:ascii="Calibri" w:eastAsia="Calibri" w:hAnsi="Calibri" w:cs="Calibri" w:hint="default"/>
        <w:b/>
        <w:bCs/>
        <w:color w:val="00AFEF"/>
        <w:spacing w:val="-1"/>
        <w:w w:val="100"/>
        <w:sz w:val="28"/>
        <w:szCs w:val="28"/>
        <w:lang w:val="nb" w:eastAsia="nb" w:bidi="nb"/>
      </w:rPr>
    </w:lvl>
    <w:lvl w:ilvl="2">
      <w:numFmt w:val="bullet"/>
      <w:lvlText w:val="•"/>
      <w:lvlJc w:val="left"/>
      <w:pPr>
        <w:ind w:left="2637" w:hanging="548"/>
      </w:pPr>
      <w:rPr>
        <w:rFonts w:hint="default"/>
        <w:lang w:val="nb" w:eastAsia="nb" w:bidi="nb"/>
      </w:rPr>
    </w:lvl>
    <w:lvl w:ilvl="3">
      <w:numFmt w:val="bullet"/>
      <w:lvlText w:val="•"/>
      <w:lvlJc w:val="left"/>
      <w:pPr>
        <w:ind w:left="3545" w:hanging="548"/>
      </w:pPr>
      <w:rPr>
        <w:rFonts w:hint="default"/>
        <w:lang w:val="nb" w:eastAsia="nb" w:bidi="nb"/>
      </w:rPr>
    </w:lvl>
    <w:lvl w:ilvl="4">
      <w:numFmt w:val="bullet"/>
      <w:lvlText w:val="•"/>
      <w:lvlJc w:val="left"/>
      <w:pPr>
        <w:ind w:left="4454" w:hanging="548"/>
      </w:pPr>
      <w:rPr>
        <w:rFonts w:hint="default"/>
        <w:lang w:val="nb" w:eastAsia="nb" w:bidi="nb"/>
      </w:rPr>
    </w:lvl>
    <w:lvl w:ilvl="5">
      <w:numFmt w:val="bullet"/>
      <w:lvlText w:val="•"/>
      <w:lvlJc w:val="left"/>
      <w:pPr>
        <w:ind w:left="5363" w:hanging="548"/>
      </w:pPr>
      <w:rPr>
        <w:rFonts w:hint="default"/>
        <w:lang w:val="nb" w:eastAsia="nb" w:bidi="nb"/>
      </w:rPr>
    </w:lvl>
    <w:lvl w:ilvl="6">
      <w:numFmt w:val="bullet"/>
      <w:lvlText w:val="•"/>
      <w:lvlJc w:val="left"/>
      <w:pPr>
        <w:ind w:left="6271" w:hanging="548"/>
      </w:pPr>
      <w:rPr>
        <w:rFonts w:hint="default"/>
        <w:lang w:val="nb" w:eastAsia="nb" w:bidi="nb"/>
      </w:rPr>
    </w:lvl>
    <w:lvl w:ilvl="7">
      <w:numFmt w:val="bullet"/>
      <w:lvlText w:val="•"/>
      <w:lvlJc w:val="left"/>
      <w:pPr>
        <w:ind w:left="7180" w:hanging="548"/>
      </w:pPr>
      <w:rPr>
        <w:rFonts w:hint="default"/>
        <w:lang w:val="nb" w:eastAsia="nb" w:bidi="nb"/>
      </w:rPr>
    </w:lvl>
    <w:lvl w:ilvl="8">
      <w:numFmt w:val="bullet"/>
      <w:lvlText w:val="•"/>
      <w:lvlJc w:val="left"/>
      <w:pPr>
        <w:ind w:left="8089" w:hanging="548"/>
      </w:pPr>
      <w:rPr>
        <w:rFonts w:hint="default"/>
        <w:lang w:val="nb" w:eastAsia="nb" w:bidi="nb"/>
      </w:rPr>
    </w:lvl>
  </w:abstractNum>
  <w:abstractNum w:abstractNumId="2" w15:restartNumberingAfterBreak="0">
    <w:nsid w:val="24825975"/>
    <w:multiLevelType w:val="hybridMultilevel"/>
    <w:tmpl w:val="538C9766"/>
    <w:lvl w:ilvl="0" w:tplc="BB900D02">
      <w:start w:val="1"/>
      <w:numFmt w:val="decimal"/>
      <w:lvlText w:val="%1."/>
      <w:lvlJc w:val="left"/>
      <w:pPr>
        <w:ind w:left="703" w:hanging="360"/>
      </w:pPr>
      <w:rPr>
        <w:rFonts w:ascii="Calibri" w:eastAsia="Calibri" w:hAnsi="Calibri" w:cs="Calibri" w:hint="default"/>
        <w:spacing w:val="-4"/>
        <w:w w:val="100"/>
        <w:sz w:val="24"/>
        <w:szCs w:val="24"/>
        <w:lang w:val="nb" w:eastAsia="nb" w:bidi="nb"/>
      </w:rPr>
    </w:lvl>
    <w:lvl w:ilvl="1" w:tplc="5A562D48">
      <w:numFmt w:val="bullet"/>
      <w:lvlText w:val="•"/>
      <w:lvlJc w:val="left"/>
      <w:pPr>
        <w:ind w:left="1620" w:hanging="360"/>
      </w:pPr>
      <w:rPr>
        <w:rFonts w:hint="default"/>
        <w:lang w:val="nb" w:eastAsia="nb" w:bidi="nb"/>
      </w:rPr>
    </w:lvl>
    <w:lvl w:ilvl="2" w:tplc="8160B9B8">
      <w:numFmt w:val="bullet"/>
      <w:lvlText w:val="•"/>
      <w:lvlJc w:val="left"/>
      <w:pPr>
        <w:ind w:left="2541" w:hanging="360"/>
      </w:pPr>
      <w:rPr>
        <w:rFonts w:hint="default"/>
        <w:lang w:val="nb" w:eastAsia="nb" w:bidi="nb"/>
      </w:rPr>
    </w:lvl>
    <w:lvl w:ilvl="3" w:tplc="48F8C714">
      <w:numFmt w:val="bullet"/>
      <w:lvlText w:val="•"/>
      <w:lvlJc w:val="left"/>
      <w:pPr>
        <w:ind w:left="3461" w:hanging="360"/>
      </w:pPr>
      <w:rPr>
        <w:rFonts w:hint="default"/>
        <w:lang w:val="nb" w:eastAsia="nb" w:bidi="nb"/>
      </w:rPr>
    </w:lvl>
    <w:lvl w:ilvl="4" w:tplc="D400829C">
      <w:numFmt w:val="bullet"/>
      <w:lvlText w:val="•"/>
      <w:lvlJc w:val="left"/>
      <w:pPr>
        <w:ind w:left="4382" w:hanging="360"/>
      </w:pPr>
      <w:rPr>
        <w:rFonts w:hint="default"/>
        <w:lang w:val="nb" w:eastAsia="nb" w:bidi="nb"/>
      </w:rPr>
    </w:lvl>
    <w:lvl w:ilvl="5" w:tplc="FD065DE0">
      <w:numFmt w:val="bullet"/>
      <w:lvlText w:val="•"/>
      <w:lvlJc w:val="left"/>
      <w:pPr>
        <w:ind w:left="5303" w:hanging="360"/>
      </w:pPr>
      <w:rPr>
        <w:rFonts w:hint="default"/>
        <w:lang w:val="nb" w:eastAsia="nb" w:bidi="nb"/>
      </w:rPr>
    </w:lvl>
    <w:lvl w:ilvl="6" w:tplc="C6BEDEC0">
      <w:numFmt w:val="bullet"/>
      <w:lvlText w:val="•"/>
      <w:lvlJc w:val="left"/>
      <w:pPr>
        <w:ind w:left="6223" w:hanging="360"/>
      </w:pPr>
      <w:rPr>
        <w:rFonts w:hint="default"/>
        <w:lang w:val="nb" w:eastAsia="nb" w:bidi="nb"/>
      </w:rPr>
    </w:lvl>
    <w:lvl w:ilvl="7" w:tplc="F800CFAE">
      <w:numFmt w:val="bullet"/>
      <w:lvlText w:val="•"/>
      <w:lvlJc w:val="left"/>
      <w:pPr>
        <w:ind w:left="7144" w:hanging="360"/>
      </w:pPr>
      <w:rPr>
        <w:rFonts w:hint="default"/>
        <w:lang w:val="nb" w:eastAsia="nb" w:bidi="nb"/>
      </w:rPr>
    </w:lvl>
    <w:lvl w:ilvl="8" w:tplc="FAB80736">
      <w:numFmt w:val="bullet"/>
      <w:lvlText w:val="•"/>
      <w:lvlJc w:val="left"/>
      <w:pPr>
        <w:ind w:left="8065" w:hanging="360"/>
      </w:pPr>
      <w:rPr>
        <w:rFonts w:hint="default"/>
        <w:lang w:val="nb" w:eastAsia="nb" w:bidi="nb"/>
      </w:rPr>
    </w:lvl>
  </w:abstractNum>
  <w:abstractNum w:abstractNumId="3" w15:restartNumberingAfterBreak="0">
    <w:nsid w:val="6B8B0DF8"/>
    <w:multiLevelType w:val="multilevel"/>
    <w:tmpl w:val="15E09D00"/>
    <w:lvl w:ilvl="0">
      <w:start w:val="1"/>
      <w:numFmt w:val="decimal"/>
      <w:lvlText w:val="%1"/>
      <w:lvlJc w:val="left"/>
      <w:pPr>
        <w:ind w:left="823" w:hanging="548"/>
      </w:pPr>
      <w:rPr>
        <w:rFonts w:hint="default"/>
        <w:lang w:val="nb" w:eastAsia="nb" w:bidi="nb"/>
      </w:rPr>
    </w:lvl>
    <w:lvl w:ilvl="1">
      <w:start w:val="1"/>
      <w:numFmt w:val="decimal"/>
      <w:lvlText w:val="%1.%2"/>
      <w:lvlJc w:val="left"/>
      <w:pPr>
        <w:ind w:left="823" w:hanging="548"/>
      </w:pPr>
      <w:rPr>
        <w:rFonts w:ascii="Calibri" w:eastAsia="Calibri" w:hAnsi="Calibri" w:cs="Calibri" w:hint="default"/>
        <w:b/>
        <w:bCs/>
        <w:color w:val="00AFEF"/>
        <w:spacing w:val="-1"/>
        <w:w w:val="100"/>
        <w:sz w:val="28"/>
        <w:szCs w:val="28"/>
        <w:lang w:val="nb" w:eastAsia="nb" w:bidi="nb"/>
      </w:rPr>
    </w:lvl>
    <w:lvl w:ilvl="2">
      <w:numFmt w:val="bullet"/>
      <w:lvlText w:val="•"/>
      <w:lvlJc w:val="left"/>
      <w:pPr>
        <w:ind w:left="2637" w:hanging="548"/>
      </w:pPr>
      <w:rPr>
        <w:rFonts w:hint="default"/>
        <w:lang w:val="nb" w:eastAsia="nb" w:bidi="nb"/>
      </w:rPr>
    </w:lvl>
    <w:lvl w:ilvl="3">
      <w:numFmt w:val="bullet"/>
      <w:lvlText w:val="•"/>
      <w:lvlJc w:val="left"/>
      <w:pPr>
        <w:ind w:left="3545" w:hanging="548"/>
      </w:pPr>
      <w:rPr>
        <w:rFonts w:hint="default"/>
        <w:lang w:val="nb" w:eastAsia="nb" w:bidi="nb"/>
      </w:rPr>
    </w:lvl>
    <w:lvl w:ilvl="4">
      <w:numFmt w:val="bullet"/>
      <w:lvlText w:val="•"/>
      <w:lvlJc w:val="left"/>
      <w:pPr>
        <w:ind w:left="4454" w:hanging="548"/>
      </w:pPr>
      <w:rPr>
        <w:rFonts w:hint="default"/>
        <w:lang w:val="nb" w:eastAsia="nb" w:bidi="nb"/>
      </w:rPr>
    </w:lvl>
    <w:lvl w:ilvl="5">
      <w:numFmt w:val="bullet"/>
      <w:lvlText w:val="•"/>
      <w:lvlJc w:val="left"/>
      <w:pPr>
        <w:ind w:left="5363" w:hanging="548"/>
      </w:pPr>
      <w:rPr>
        <w:rFonts w:hint="default"/>
        <w:lang w:val="nb" w:eastAsia="nb" w:bidi="nb"/>
      </w:rPr>
    </w:lvl>
    <w:lvl w:ilvl="6">
      <w:numFmt w:val="bullet"/>
      <w:lvlText w:val="•"/>
      <w:lvlJc w:val="left"/>
      <w:pPr>
        <w:ind w:left="6271" w:hanging="548"/>
      </w:pPr>
      <w:rPr>
        <w:rFonts w:hint="default"/>
        <w:lang w:val="nb" w:eastAsia="nb" w:bidi="nb"/>
      </w:rPr>
    </w:lvl>
    <w:lvl w:ilvl="7">
      <w:numFmt w:val="bullet"/>
      <w:lvlText w:val="•"/>
      <w:lvlJc w:val="left"/>
      <w:pPr>
        <w:ind w:left="7180" w:hanging="548"/>
      </w:pPr>
      <w:rPr>
        <w:rFonts w:hint="default"/>
        <w:lang w:val="nb" w:eastAsia="nb" w:bidi="nb"/>
      </w:rPr>
    </w:lvl>
    <w:lvl w:ilvl="8">
      <w:numFmt w:val="bullet"/>
      <w:lvlText w:val="•"/>
      <w:lvlJc w:val="left"/>
      <w:pPr>
        <w:ind w:left="8089" w:hanging="548"/>
      </w:pPr>
      <w:rPr>
        <w:rFonts w:hint="default"/>
        <w:lang w:val="nb" w:eastAsia="nb" w:bidi="nb"/>
      </w:rPr>
    </w:lvl>
  </w:abstractNum>
  <w:abstractNum w:abstractNumId="4" w15:restartNumberingAfterBreak="0">
    <w:nsid w:val="6F2956CF"/>
    <w:multiLevelType w:val="hybridMultilevel"/>
    <w:tmpl w:val="0AD28AB0"/>
    <w:lvl w:ilvl="0" w:tplc="ED9C086E">
      <w:start w:val="1"/>
      <w:numFmt w:val="decimal"/>
      <w:lvlText w:val="%1."/>
      <w:lvlJc w:val="left"/>
      <w:pPr>
        <w:ind w:left="703" w:hanging="360"/>
      </w:pPr>
      <w:rPr>
        <w:rFonts w:ascii="Calibri" w:eastAsia="Calibri" w:hAnsi="Calibri" w:cs="Calibri" w:hint="default"/>
        <w:spacing w:val="-3"/>
        <w:w w:val="100"/>
        <w:sz w:val="24"/>
        <w:szCs w:val="24"/>
        <w:lang w:val="nb" w:eastAsia="nb" w:bidi="nb"/>
      </w:rPr>
    </w:lvl>
    <w:lvl w:ilvl="1" w:tplc="D12E86A0">
      <w:numFmt w:val="bullet"/>
      <w:lvlText w:val="•"/>
      <w:lvlJc w:val="left"/>
      <w:pPr>
        <w:ind w:left="1620" w:hanging="360"/>
      </w:pPr>
      <w:rPr>
        <w:rFonts w:hint="default"/>
        <w:lang w:val="nb" w:eastAsia="nb" w:bidi="nb"/>
      </w:rPr>
    </w:lvl>
    <w:lvl w:ilvl="2" w:tplc="2072099C">
      <w:numFmt w:val="bullet"/>
      <w:lvlText w:val="•"/>
      <w:lvlJc w:val="left"/>
      <w:pPr>
        <w:ind w:left="2541" w:hanging="360"/>
      </w:pPr>
      <w:rPr>
        <w:rFonts w:hint="default"/>
        <w:lang w:val="nb" w:eastAsia="nb" w:bidi="nb"/>
      </w:rPr>
    </w:lvl>
    <w:lvl w:ilvl="3" w:tplc="E73EC75C">
      <w:numFmt w:val="bullet"/>
      <w:lvlText w:val="•"/>
      <w:lvlJc w:val="left"/>
      <w:pPr>
        <w:ind w:left="3461" w:hanging="360"/>
      </w:pPr>
      <w:rPr>
        <w:rFonts w:hint="default"/>
        <w:lang w:val="nb" w:eastAsia="nb" w:bidi="nb"/>
      </w:rPr>
    </w:lvl>
    <w:lvl w:ilvl="4" w:tplc="AD5635BE">
      <w:numFmt w:val="bullet"/>
      <w:lvlText w:val="•"/>
      <w:lvlJc w:val="left"/>
      <w:pPr>
        <w:ind w:left="4382" w:hanging="360"/>
      </w:pPr>
      <w:rPr>
        <w:rFonts w:hint="default"/>
        <w:lang w:val="nb" w:eastAsia="nb" w:bidi="nb"/>
      </w:rPr>
    </w:lvl>
    <w:lvl w:ilvl="5" w:tplc="266EC19E">
      <w:numFmt w:val="bullet"/>
      <w:lvlText w:val="•"/>
      <w:lvlJc w:val="left"/>
      <w:pPr>
        <w:ind w:left="5303" w:hanging="360"/>
      </w:pPr>
      <w:rPr>
        <w:rFonts w:hint="default"/>
        <w:lang w:val="nb" w:eastAsia="nb" w:bidi="nb"/>
      </w:rPr>
    </w:lvl>
    <w:lvl w:ilvl="6" w:tplc="732A74FC">
      <w:numFmt w:val="bullet"/>
      <w:lvlText w:val="•"/>
      <w:lvlJc w:val="left"/>
      <w:pPr>
        <w:ind w:left="6223" w:hanging="360"/>
      </w:pPr>
      <w:rPr>
        <w:rFonts w:hint="default"/>
        <w:lang w:val="nb" w:eastAsia="nb" w:bidi="nb"/>
      </w:rPr>
    </w:lvl>
    <w:lvl w:ilvl="7" w:tplc="517C6CD0">
      <w:numFmt w:val="bullet"/>
      <w:lvlText w:val="•"/>
      <w:lvlJc w:val="left"/>
      <w:pPr>
        <w:ind w:left="7144" w:hanging="360"/>
      </w:pPr>
      <w:rPr>
        <w:rFonts w:hint="default"/>
        <w:lang w:val="nb" w:eastAsia="nb" w:bidi="nb"/>
      </w:rPr>
    </w:lvl>
    <w:lvl w:ilvl="8" w:tplc="D34CA808">
      <w:numFmt w:val="bullet"/>
      <w:lvlText w:val="•"/>
      <w:lvlJc w:val="left"/>
      <w:pPr>
        <w:ind w:left="8065" w:hanging="360"/>
      </w:pPr>
      <w:rPr>
        <w:rFonts w:hint="default"/>
        <w:lang w:val="nb" w:eastAsia="nb" w:bidi="nb"/>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AB"/>
    <w:rsid w:val="00034EAB"/>
    <w:rsid w:val="000407A2"/>
    <w:rsid w:val="0005684C"/>
    <w:rsid w:val="0008427C"/>
    <w:rsid w:val="0013453A"/>
    <w:rsid w:val="00177476"/>
    <w:rsid w:val="00194A11"/>
    <w:rsid w:val="001B7028"/>
    <w:rsid w:val="001F29F2"/>
    <w:rsid w:val="00233F06"/>
    <w:rsid w:val="00242192"/>
    <w:rsid w:val="002428C2"/>
    <w:rsid w:val="0024571E"/>
    <w:rsid w:val="0026128E"/>
    <w:rsid w:val="002678F9"/>
    <w:rsid w:val="002962CE"/>
    <w:rsid w:val="002C577E"/>
    <w:rsid w:val="002D4595"/>
    <w:rsid w:val="003200B7"/>
    <w:rsid w:val="00321FCC"/>
    <w:rsid w:val="00356726"/>
    <w:rsid w:val="00397212"/>
    <w:rsid w:val="003D0CE2"/>
    <w:rsid w:val="003D6941"/>
    <w:rsid w:val="003D7E64"/>
    <w:rsid w:val="004501FE"/>
    <w:rsid w:val="00451042"/>
    <w:rsid w:val="00480404"/>
    <w:rsid w:val="00480EF0"/>
    <w:rsid w:val="004C580B"/>
    <w:rsid w:val="004C65B2"/>
    <w:rsid w:val="004E2020"/>
    <w:rsid w:val="00504ACD"/>
    <w:rsid w:val="00516D82"/>
    <w:rsid w:val="00536CB8"/>
    <w:rsid w:val="00556A8E"/>
    <w:rsid w:val="0059673E"/>
    <w:rsid w:val="005A447B"/>
    <w:rsid w:val="006634A0"/>
    <w:rsid w:val="00673BC1"/>
    <w:rsid w:val="00675304"/>
    <w:rsid w:val="0074780A"/>
    <w:rsid w:val="00750AAA"/>
    <w:rsid w:val="00782DF4"/>
    <w:rsid w:val="007F1D9E"/>
    <w:rsid w:val="008B7572"/>
    <w:rsid w:val="008D60AE"/>
    <w:rsid w:val="009516FE"/>
    <w:rsid w:val="009A15A1"/>
    <w:rsid w:val="009A5E31"/>
    <w:rsid w:val="009D2805"/>
    <w:rsid w:val="00A210CF"/>
    <w:rsid w:val="00AF0F6A"/>
    <w:rsid w:val="00B400B0"/>
    <w:rsid w:val="00B71CD1"/>
    <w:rsid w:val="00B85E35"/>
    <w:rsid w:val="00BA2EC9"/>
    <w:rsid w:val="00C055EC"/>
    <w:rsid w:val="00C82429"/>
    <w:rsid w:val="00C968A9"/>
    <w:rsid w:val="00CA57DC"/>
    <w:rsid w:val="00D82CB7"/>
    <w:rsid w:val="00DE3926"/>
    <w:rsid w:val="00DF7F3F"/>
    <w:rsid w:val="00E009F0"/>
    <w:rsid w:val="00E60032"/>
    <w:rsid w:val="00ED3730"/>
    <w:rsid w:val="00EF0E7B"/>
    <w:rsid w:val="00F44BEF"/>
    <w:rsid w:val="00F609A8"/>
    <w:rsid w:val="00F873EA"/>
    <w:rsid w:val="00FB7658"/>
    <w:rsid w:val="00FC3A66"/>
    <w:rsid w:val="00FF04C6"/>
    <w:rsid w:val="00FF12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359B"/>
  <w15:chartTrackingRefBased/>
  <w15:docId w15:val="{05254B5C-338F-41A2-AECB-FC33A1A0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D4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1"/>
    <w:qFormat/>
    <w:rsid w:val="00DE3926"/>
    <w:pPr>
      <w:widowControl w:val="0"/>
      <w:autoSpaceDE w:val="0"/>
      <w:autoSpaceDN w:val="0"/>
      <w:spacing w:after="0" w:line="240" w:lineRule="auto"/>
      <w:ind w:left="276"/>
      <w:outlineLvl w:val="1"/>
    </w:pPr>
    <w:rPr>
      <w:rFonts w:ascii="Calibri" w:eastAsia="Calibri" w:hAnsi="Calibri" w:cs="Calibri"/>
      <w:b/>
      <w:bCs/>
      <w:sz w:val="24"/>
      <w:szCs w:val="24"/>
      <w:lang w:val="nb" w:eastAsia="nb" w:bidi="n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qFormat/>
    <w:rsid w:val="00034EAB"/>
    <w:pPr>
      <w:widowControl w:val="0"/>
      <w:autoSpaceDE w:val="0"/>
      <w:autoSpaceDN w:val="0"/>
      <w:spacing w:after="0" w:line="240" w:lineRule="auto"/>
    </w:pPr>
    <w:rPr>
      <w:rFonts w:ascii="Calibri" w:eastAsia="Calibri" w:hAnsi="Calibri" w:cs="Calibri"/>
      <w:sz w:val="24"/>
      <w:szCs w:val="24"/>
      <w:lang w:val="nb" w:eastAsia="nb" w:bidi="nb"/>
    </w:rPr>
  </w:style>
  <w:style w:type="character" w:customStyle="1" w:styleId="BrdtekstTegn">
    <w:name w:val="Brødtekst Tegn"/>
    <w:basedOn w:val="Standardskriftforavsnitt"/>
    <w:link w:val="Brdtekst"/>
    <w:uiPriority w:val="1"/>
    <w:rsid w:val="00034EAB"/>
    <w:rPr>
      <w:rFonts w:ascii="Calibri" w:eastAsia="Calibri" w:hAnsi="Calibri" w:cs="Calibri"/>
      <w:sz w:val="24"/>
      <w:szCs w:val="24"/>
      <w:lang w:val="nb" w:eastAsia="nb" w:bidi="nb"/>
    </w:rPr>
  </w:style>
  <w:style w:type="character" w:customStyle="1" w:styleId="Overskrift2Tegn">
    <w:name w:val="Overskrift 2 Tegn"/>
    <w:basedOn w:val="Standardskriftforavsnitt"/>
    <w:link w:val="Overskrift2"/>
    <w:uiPriority w:val="1"/>
    <w:rsid w:val="00DE3926"/>
    <w:rPr>
      <w:rFonts w:ascii="Calibri" w:eastAsia="Calibri" w:hAnsi="Calibri" w:cs="Calibri"/>
      <w:b/>
      <w:bCs/>
      <w:sz w:val="24"/>
      <w:szCs w:val="24"/>
      <w:lang w:val="nb" w:eastAsia="nb" w:bidi="nb"/>
    </w:rPr>
  </w:style>
  <w:style w:type="paragraph" w:styleId="Listeavsnitt">
    <w:name w:val="List Paragraph"/>
    <w:basedOn w:val="Normal"/>
    <w:uiPriority w:val="1"/>
    <w:qFormat/>
    <w:rsid w:val="002D4595"/>
    <w:pPr>
      <w:ind w:left="720"/>
      <w:contextualSpacing/>
    </w:pPr>
  </w:style>
  <w:style w:type="character" w:customStyle="1" w:styleId="Overskrift1Tegn">
    <w:name w:val="Overskrift 1 Tegn"/>
    <w:basedOn w:val="Standardskriftforavsnitt"/>
    <w:link w:val="Overskrift1"/>
    <w:uiPriority w:val="9"/>
    <w:rsid w:val="002D4595"/>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556A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6A8E"/>
    <w:pPr>
      <w:widowControl w:val="0"/>
      <w:autoSpaceDE w:val="0"/>
      <w:autoSpaceDN w:val="0"/>
      <w:spacing w:after="0" w:line="272" w:lineRule="exact"/>
      <w:ind w:left="218"/>
    </w:pPr>
    <w:rPr>
      <w:rFonts w:ascii="Calibri" w:eastAsia="Calibri" w:hAnsi="Calibri" w:cs="Calibri"/>
      <w:lang w:val="nb" w:eastAsia="nb" w:bidi="nb"/>
    </w:rPr>
  </w:style>
  <w:style w:type="paragraph" w:styleId="Bobletekst">
    <w:name w:val="Balloon Text"/>
    <w:basedOn w:val="Normal"/>
    <w:link w:val="BobletekstTegn"/>
    <w:uiPriority w:val="99"/>
    <w:semiHidden/>
    <w:unhideWhenUsed/>
    <w:rsid w:val="0017747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77476"/>
    <w:rPr>
      <w:rFonts w:ascii="Segoe UI" w:hAnsi="Segoe UI" w:cs="Segoe UI"/>
      <w:sz w:val="18"/>
      <w:szCs w:val="18"/>
    </w:rPr>
  </w:style>
  <w:style w:type="table" w:styleId="Tabellrutenett">
    <w:name w:val="Table Grid"/>
    <w:basedOn w:val="Vanligtabell"/>
    <w:uiPriority w:val="39"/>
    <w:rsid w:val="0045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l4-uthevingsfarge4">
    <w:name w:val="List Table 4 Accent 4"/>
    <w:basedOn w:val="Vanligtabell"/>
    <w:uiPriority w:val="49"/>
    <w:rsid w:val="00233F06"/>
    <w:pPr>
      <w:autoSpaceDN w:val="0"/>
      <w:spacing w:after="0" w:line="240" w:lineRule="auto"/>
      <w:textAlignment w:val="baseline"/>
    </w:pPr>
    <w:rPr>
      <w:rFonts w:ascii="Times New Roman" w:eastAsia="Times New Roman" w:hAnsi="Times New Roman" w:cs="Times New Roman"/>
      <w:sz w:val="20"/>
      <w:szCs w:val="20"/>
      <w:lang w:eastAsia="nb-NO"/>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Merknadstekst">
    <w:name w:val="annotation text"/>
    <w:basedOn w:val="Normal"/>
    <w:link w:val="MerknadstekstTegn"/>
    <w:rsid w:val="00233F06"/>
    <w:pPr>
      <w:suppressAutoHyphens/>
      <w:autoSpaceDN w:val="0"/>
      <w:spacing w:before="100" w:beforeAutospacing="1" w:after="100" w:afterAutospacing="1" w:line="240" w:lineRule="auto"/>
      <w:textAlignment w:val="baseline"/>
    </w:pPr>
    <w:rPr>
      <w:rFonts w:eastAsia="Times New Roman" w:cs="Times New Roman"/>
      <w:sz w:val="24"/>
      <w:szCs w:val="20"/>
      <w:lang w:eastAsia="nb-NO"/>
    </w:rPr>
  </w:style>
  <w:style w:type="character" w:customStyle="1" w:styleId="MerknadstekstTegn">
    <w:name w:val="Merknadstekst Tegn"/>
    <w:basedOn w:val="Standardskriftforavsnitt"/>
    <w:link w:val="Merknadstekst"/>
    <w:rsid w:val="00233F06"/>
    <w:rPr>
      <w:rFonts w:eastAsia="Times New Roman" w:cs="Times New Roman"/>
      <w:sz w:val="24"/>
      <w:szCs w:val="20"/>
      <w:lang w:eastAsia="nb-NO"/>
    </w:rPr>
  </w:style>
  <w:style w:type="paragraph" w:styleId="Topptekst">
    <w:name w:val="header"/>
    <w:basedOn w:val="Normal"/>
    <w:link w:val="TopptekstTegn"/>
    <w:rsid w:val="00233F06"/>
    <w:pPr>
      <w:keepLines/>
      <w:tabs>
        <w:tab w:val="center" w:pos="4320"/>
        <w:tab w:val="right" w:pos="8640"/>
      </w:tabs>
      <w:suppressAutoHyphens/>
      <w:autoSpaceDN w:val="0"/>
      <w:spacing w:beforeAutospacing="1" w:after="600" w:afterAutospacing="1" w:line="240" w:lineRule="atLeast"/>
      <w:textAlignment w:val="baseline"/>
    </w:pPr>
    <w:rPr>
      <w:rFonts w:eastAsia="Times New Roman" w:cs="Times New Roman"/>
      <w:caps/>
      <w:spacing w:val="-5"/>
      <w:sz w:val="18"/>
      <w:szCs w:val="20"/>
      <w:lang w:eastAsia="nb-NO"/>
    </w:rPr>
  </w:style>
  <w:style w:type="character" w:customStyle="1" w:styleId="TopptekstTegn">
    <w:name w:val="Topptekst Tegn"/>
    <w:basedOn w:val="Standardskriftforavsnitt"/>
    <w:link w:val="Topptekst"/>
    <w:rsid w:val="00233F06"/>
    <w:rPr>
      <w:rFonts w:eastAsia="Times New Roman" w:cs="Times New Roman"/>
      <w:caps/>
      <w:spacing w:val="-5"/>
      <w:sz w:val="18"/>
      <w:szCs w:val="20"/>
      <w:lang w:eastAsia="nb-NO"/>
    </w:rPr>
  </w:style>
  <w:style w:type="paragraph" w:styleId="Bunntekst">
    <w:name w:val="footer"/>
    <w:basedOn w:val="Normal"/>
    <w:link w:val="BunntekstTegn"/>
    <w:uiPriority w:val="99"/>
    <w:unhideWhenUsed/>
    <w:rsid w:val="00CA57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A57DC"/>
  </w:style>
  <w:style w:type="character" w:styleId="Hyperkobling">
    <w:name w:val="Hyperlink"/>
    <w:basedOn w:val="Standardskriftforavsnitt"/>
    <w:uiPriority w:val="99"/>
    <w:unhideWhenUsed/>
    <w:rsid w:val="00FF1216"/>
    <w:rPr>
      <w:color w:val="0563C1" w:themeColor="hyperlink"/>
      <w:u w:val="single"/>
    </w:rPr>
  </w:style>
  <w:style w:type="character" w:styleId="Fulgthyperkobling">
    <w:name w:val="FollowedHyperlink"/>
    <w:basedOn w:val="Standardskriftforavsnitt"/>
    <w:uiPriority w:val="99"/>
    <w:semiHidden/>
    <w:unhideWhenUsed/>
    <w:rsid w:val="00356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kkefjord.kommune.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1559</Words>
  <Characters>8264</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IKT Orkidé</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Mjønes</dc:creator>
  <cp:keywords/>
  <dc:description/>
  <cp:lastModifiedBy>Trond Helge Moi</cp:lastModifiedBy>
  <cp:revision>2</cp:revision>
  <cp:lastPrinted>2019-08-14T12:38:00Z</cp:lastPrinted>
  <dcterms:created xsi:type="dcterms:W3CDTF">2020-02-24T12:23:00Z</dcterms:created>
  <dcterms:modified xsi:type="dcterms:W3CDTF">2020-02-24T12:23:00Z</dcterms:modified>
</cp:coreProperties>
</file>